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rsidR="00DE2E87" w:rsidRPr="00847E3D" w:rsidP="00847E3D" w14:paraId="3EF6DE69" w14:textId="5A74477B">
      <w:pPr>
        <w:rPr>
          <w:b/>
          <w:bCs/>
          <w:color w:val="FF0000"/>
          <w:shd w:val="clear" w:color="auto" w:fill="auto"/>
        </w:rPr>
      </w:pPr>
      <w:r w:rsidRPr="00847E3D">
        <w:rPr>
          <w:b/>
          <w:bCs/>
          <w:color w:val="FF0000"/>
        </w:rPr>
        <w:t>Produced by the Productive Finance Working Group</w:t>
      </w:r>
    </w:p>
    <w:tbl>
      <w:tblPr>
        <w:tblStyle w:val="TableGrid"/>
        <w:tblW w:w="5000" w:type="pct"/>
        <w:tblLook w:val="01E0"/>
      </w:tblPr>
      <w:tblGrid>
        <w:gridCol w:w="4920"/>
        <w:gridCol w:w="4604"/>
      </w:tblGrid>
      <w:tr w14:paraId="56931D20" w14:textId="77777777" w:rsidTr="00934D3C">
        <w:tblPrEx>
          <w:tblW w:w="5000" w:type="pct"/>
          <w:tblLook w:val="01E0"/>
        </w:tblPrEx>
        <w:tc>
          <w:tcPr>
            <w:tcW w:w="2583" w:type="pct"/>
          </w:tcPr>
          <w:p w:rsidR="00190043" w14:paraId="7CD4633A" w14:textId="0C625A68">
            <w:pPr>
              <w:rPr>
                <w:color w:val="FF0000"/>
                <w:shd w:val="clear" w:color="auto" w:fill="auto"/>
              </w:rPr>
            </w:pPr>
          </w:p>
        </w:tc>
        <w:sdt>
          <w:sdtPr>
            <w:alias w:val="Outline Content"/>
            <w:tag w:val="6BA0F85636A34C7780CC09E3D7058629"/>
            <w:id w:val="1469091762"/>
            <w:showingPlcHdr/>
            <w:richText/>
          </w:sdtPr>
          <w:sdtContent>
            <w:tc>
              <w:tcPr>
                <w:tcW w:w="2417" w:type="pct"/>
              </w:tcPr>
              <w:p w:rsidR="00934D3C" w:rsidP="00934D3C" w14:paraId="7AEFA4D3" w14:textId="77777777">
                <w:pPr>
                  <w:pStyle w:val="ssLegendsUnderlined"/>
                  <w:rPr>
                    <w:color w:val="FF0000"/>
                    <w:shd w:val="clear" w:color="auto" w:fill="auto"/>
                  </w:rPr>
                </w:pPr>
              </w:p>
            </w:tc>
          </w:sdtContent>
        </w:sdt>
      </w:tr>
      <w:tr w14:paraId="48971567" w14:textId="77777777" w:rsidTr="005D394B">
        <w:tblPrEx>
          <w:tblW w:w="5000" w:type="pct"/>
          <w:tblLook w:val="01E0"/>
        </w:tblPrEx>
        <w:tc>
          <w:tcPr>
            <w:tcW w:w="5000" w:type="pct"/>
            <w:gridSpan w:val="2"/>
          </w:tcPr>
          <w:p w:rsidR="00190043" w:rsidRPr="005D394B" w:rsidP="00D663D8" w14:paraId="64D132CF" w14:textId="77777777">
            <w:pPr>
              <w:jc w:val="center"/>
              <w:rPr>
                <w:b/>
                <w:bCs/>
                <w:color w:val="auto"/>
                <w:shd w:val="clear" w:color="auto" w:fill="auto"/>
              </w:rPr>
            </w:pPr>
            <w:r w:rsidRPr="005D394B">
              <w:rPr>
                <w:b/>
                <w:bCs/>
                <w:caps/>
              </w:rPr>
              <w:t>Instrument of Incorporation</w:t>
            </w:r>
          </w:p>
        </w:tc>
      </w:tr>
    </w:tbl>
    <w:sdt>
      <w:sdtPr>
        <w:id w:val="1733039595"/>
        <w:showingPlcHdr/>
        <w:richText/>
      </w:sdtPr>
      <w:sdtContent>
        <w:p w:rsidR="00D71291" w:rsidP="00E534FC" w14:paraId="671CE0F7" w14:textId="39BF9891">
          <w:pPr>
            <w:pStyle w:val="ssUserEntry"/>
            <w:rPr>
              <w:color w:val="auto"/>
              <w:shd w:val="clear" w:color="auto" w:fill="auto"/>
            </w:rPr>
          </w:pPr>
          <w:r>
            <w:t xml:space="preserve">     </w:t>
          </w:r>
        </w:p>
      </w:sdtContent>
    </w:sdt>
    <w:p w:rsidR="00D71291" w:rsidP="00E534FC" w14:paraId="59EF47AF" w14:textId="77777777">
      <w:pPr>
        <w:pStyle w:val="ssSpacingLine"/>
        <w:rPr>
          <w:color w:val="auto"/>
          <w:shd w:val="clear" w:color="auto" w:fill="auto"/>
        </w:rPr>
      </w:pPr>
    </w:p>
    <w:tbl>
      <w:tblPr>
        <w:tblW w:w="0" w:type="auto"/>
        <w:tblLook w:val="01E0"/>
      </w:tblPr>
      <w:tblGrid>
        <w:gridCol w:w="9498"/>
      </w:tblGrid>
      <w:tr w14:paraId="746FA6F3" w14:textId="77777777" w:rsidTr="00A31F6B">
        <w:tblPrEx>
          <w:tblW w:w="0" w:type="auto"/>
          <w:tblLook w:val="01E0"/>
        </w:tblPrEx>
        <w:tc>
          <w:tcPr>
            <w:tcW w:w="9498" w:type="dxa"/>
          </w:tcPr>
          <w:sdt>
            <w:sdtPr>
              <w:rPr>
                <w:rFonts w:eastAsia="SimSun" w:asciiTheme="minorHAnsi" w:hAnsiTheme="minorHAnsi" w:cs="Times New Roman"/>
                <w:sz w:val="18"/>
                <w:szCs w:val="18"/>
                <w:lang w:eastAsia="en-GB"/>
              </w:rPr>
              <w:alias w:val="Outline Region"/>
              <w:tag w:val="1C31A0ABDBE74204B386CE409F72F1FC"/>
              <w:id w:val="-51311903"/>
              <w:placeholder>
                <w:docPart w:val="D996653A061342C3ACC329681684B9ED"/>
              </w:placeholder>
              <w:richText/>
            </w:sdtPr>
            <w:sdtContent>
              <w:p w:rsidR="000141F7" w:rsidP="00D663D8" w14:paraId="4B9DEA40" w14:textId="74AED818">
                <w:pPr>
                  <w:spacing w:after="260"/>
                  <w:jc w:val="center"/>
                  <w:rPr>
                    <w:b/>
                    <w:caps/>
                    <w:color w:val="auto"/>
                    <w:shd w:val="clear" w:color="auto" w:fill="auto"/>
                  </w:rPr>
                </w:pPr>
                <w:r>
                  <w:rPr>
                    <w:b/>
                    <w:caps/>
                  </w:rPr>
                  <w:t>of</w:t>
                </w:r>
              </w:p>
              <w:p w:rsidR="000141F7" w:rsidP="000141F7" w14:paraId="043085C0" w14:textId="77777777">
                <w:pPr>
                  <w:tabs>
                    <w:tab w:val="left" w:pos="-720"/>
                  </w:tabs>
                  <w:suppressAutoHyphens/>
                  <w:jc w:val="center"/>
                  <w:rPr>
                    <w:b/>
                    <w:color w:val="auto"/>
                    <w:spacing w:val="-2"/>
                    <w:shd w:val="clear" w:color="auto" w:fill="auto"/>
                  </w:rPr>
                </w:pPr>
              </w:p>
              <w:p w:rsidR="000141F7" w:rsidP="000141F7" w14:paraId="5487CAD3" w14:textId="318114EF">
                <w:pPr>
                  <w:tabs>
                    <w:tab w:val="center" w:pos="4513"/>
                  </w:tabs>
                  <w:suppressAutoHyphens/>
                  <w:jc w:val="center"/>
                  <w:rPr>
                    <w:b/>
                    <w:color w:val="auto"/>
                    <w:spacing w:val="-2"/>
                    <w:shd w:val="clear" w:color="auto" w:fill="auto"/>
                  </w:rPr>
                </w:pPr>
                <w:r>
                  <w:rPr>
                    <w:b/>
                    <w:spacing w:val="-2"/>
                  </w:rPr>
                  <w:t>[        ]</w:t>
                </w:r>
                <w:r w:rsidR="00491AD9">
                  <w:rPr>
                    <w:b/>
                    <w:spacing w:val="-2"/>
                  </w:rPr>
                  <w:t xml:space="preserve"> </w:t>
                </w:r>
                <w:r w:rsidR="00A869A9">
                  <w:rPr>
                    <w:b/>
                    <w:spacing w:val="-2"/>
                  </w:rPr>
                  <w:t>[LONG-TERM ASSET FUND</w:t>
                </w:r>
                <w:r w:rsidR="00491AD9">
                  <w:rPr>
                    <w:b/>
                    <w:spacing w:val="-2"/>
                  </w:rPr>
                  <w:t xml:space="preserve"> / </w:t>
                </w:r>
                <w:r w:rsidR="00A869A9">
                  <w:rPr>
                    <w:b/>
                    <w:spacing w:val="-2"/>
                  </w:rPr>
                  <w:t>LTAF]</w:t>
                </w:r>
                <w:r w:rsidR="003A6040">
                  <w:rPr>
                    <w:b/>
                    <w:spacing w:val="-2"/>
                  </w:rPr>
                  <w:t xml:space="preserve"> </w:t>
                </w:r>
                <w:r>
                  <w:rPr>
                    <w:rStyle w:val="EndnoteReference"/>
                    <w:b/>
                    <w:spacing w:val="-2"/>
                  </w:rPr>
                  <w:endnoteReference w:id="2"/>
                </w:r>
              </w:p>
              <w:p w:rsidR="000141F7" w:rsidP="000141F7" w14:paraId="787CE3B4" w14:textId="77777777">
                <w:pPr>
                  <w:tabs>
                    <w:tab w:val="left" w:pos="-720"/>
                  </w:tabs>
                  <w:suppressAutoHyphens/>
                  <w:jc w:val="center"/>
                  <w:rPr>
                    <w:b/>
                    <w:color w:val="auto"/>
                    <w:spacing w:val="-2"/>
                    <w:shd w:val="clear" w:color="auto" w:fill="auto"/>
                  </w:rPr>
                </w:pPr>
              </w:p>
              <w:p w:rsidR="000141F7" w:rsidP="00A31F6B" w14:paraId="1302006F" w14:textId="2F681E95">
                <w:pPr>
                  <w:spacing w:after="260"/>
                  <w:jc w:val="center"/>
                  <w:rPr>
                    <w:b/>
                    <w:color w:val="auto"/>
                    <w:spacing w:val="-2"/>
                    <w:shd w:val="clear" w:color="auto" w:fill="auto"/>
                  </w:rPr>
                </w:pPr>
                <w:r>
                  <w:rPr>
                    <w:b/>
                    <w:spacing w:val="-2"/>
                  </w:rPr>
                  <w:t>(</w:t>
                </w:r>
                <w:r>
                  <w:rPr>
                    <w:b/>
                    <w:caps/>
                  </w:rPr>
                  <w:t xml:space="preserve">an Investment Company </w:t>
                </w:r>
                <w:r w:rsidR="00367AC2">
                  <w:rPr>
                    <w:b/>
                    <w:caps/>
                  </w:rPr>
                  <w:t xml:space="preserve">WITH </w:t>
                </w:r>
                <w:r>
                  <w:rPr>
                    <w:b/>
                    <w:caps/>
                  </w:rPr>
                  <w:t>Variable Capital)</w:t>
                </w:r>
              </w:p>
              <w:p w:rsidR="000141F7" w:rsidP="000141F7" w14:paraId="4ED758DF" w14:textId="77777777">
                <w:pPr>
                  <w:tabs>
                    <w:tab w:val="center" w:pos="4513"/>
                  </w:tabs>
                  <w:suppressAutoHyphens/>
                  <w:jc w:val="center"/>
                  <w:rPr>
                    <w:b/>
                    <w:color w:val="auto"/>
                    <w:spacing w:val="-2"/>
                    <w:shd w:val="clear" w:color="auto" w:fill="auto"/>
                  </w:rPr>
                </w:pPr>
                <w:r>
                  <w:rPr>
                    <w:b/>
                    <w:caps/>
                  </w:rPr>
                  <w:t>Registered in [England and Wales</w:t>
                </w:r>
                <w:r>
                  <w:rPr>
                    <w:b/>
                    <w:spacing w:val="-2"/>
                  </w:rPr>
                  <w:t>]</w:t>
                </w:r>
              </w:p>
              <w:p w:rsidR="000141F7" w:rsidP="000141F7" w14:paraId="367945D8" w14:textId="77777777">
                <w:pPr>
                  <w:tabs>
                    <w:tab w:val="center" w:pos="4513"/>
                  </w:tabs>
                  <w:suppressAutoHyphens/>
                  <w:jc w:val="center"/>
                  <w:outlineLvl w:val="0"/>
                  <w:rPr>
                    <w:b/>
                    <w:color w:val="auto"/>
                    <w:spacing w:val="-2"/>
                    <w:shd w:val="clear" w:color="auto" w:fill="auto"/>
                  </w:rPr>
                </w:pPr>
              </w:p>
              <w:p w:rsidR="000141F7" w:rsidP="000141F7" w14:paraId="65793959" w14:textId="215A5591">
                <w:pPr>
                  <w:tabs>
                    <w:tab w:val="center" w:pos="4513"/>
                  </w:tabs>
                  <w:suppressAutoHyphens/>
                  <w:jc w:val="center"/>
                  <w:outlineLvl w:val="0"/>
                  <w:rPr>
                    <w:b/>
                    <w:i/>
                    <w:iCs/>
                    <w:color w:val="auto"/>
                    <w:spacing w:val="-2"/>
                    <w:shd w:val="clear" w:color="auto" w:fill="auto"/>
                  </w:rPr>
                </w:pPr>
                <w:r>
                  <w:rPr>
                    <w:b/>
                    <w:i/>
                    <w:iCs/>
                    <w:spacing w:val="-2"/>
                  </w:rPr>
                  <w:t>[FOR</w:t>
                </w:r>
                <w:r w:rsidRPr="00DA1DA3">
                  <w:rPr>
                    <w:b/>
                    <w:i/>
                    <w:iCs/>
                    <w:spacing w:val="-2"/>
                  </w:rPr>
                  <w:t xml:space="preserve"> AN LTAF THAT IS AN</w:t>
                </w:r>
                <w:r>
                  <w:rPr>
                    <w:b/>
                    <w:i/>
                    <w:iCs/>
                    <w:spacing w:val="-2"/>
                  </w:rPr>
                  <w:t xml:space="preserve"> UMBRELLA SCHEME WITH SUB-FUNDS WITH DIFFERENT SHARE CLASSES]</w:t>
                </w:r>
              </w:p>
              <w:p w:rsidR="000141F7" w:rsidP="000141F7" w14:paraId="7699E8EA" w14:textId="77777777">
                <w:pPr>
                  <w:tabs>
                    <w:tab w:val="left" w:pos="-720"/>
                  </w:tabs>
                  <w:suppressAutoHyphens/>
                  <w:jc w:val="center"/>
                  <w:rPr>
                    <w:b/>
                    <w:color w:val="auto"/>
                    <w:spacing w:val="-2"/>
                    <w:shd w:val="clear" w:color="auto" w:fill="auto"/>
                  </w:rPr>
                </w:pPr>
              </w:p>
              <w:p w:rsidR="00D71291" w:rsidP="000141F7" w14:paraId="09895432" w14:textId="77777777">
                <w:pPr>
                  <w:pStyle w:val="ssRole"/>
                  <w:jc w:val="center"/>
                  <w:rPr>
                    <w:rFonts w:eastAsia="SimSun"/>
                    <w:color w:val="auto"/>
                    <w:shd w:val="clear" w:color="auto" w:fill="auto"/>
                  </w:rPr>
                </w:pPr>
              </w:p>
            </w:sdtContent>
          </w:sdt>
        </w:tc>
      </w:tr>
    </w:tbl>
    <w:p w:rsidR="00D71291" w:rsidP="00662F92" w14:paraId="7A64BF98" w14:textId="77777777">
      <w:pPr>
        <w:pStyle w:val="ssSpacingLine"/>
        <w:rPr>
          <w:color w:val="auto"/>
          <w:shd w:val="clear" w:color="auto" w:fill="auto"/>
        </w:rPr>
      </w:pPr>
    </w:p>
    <w:sdt>
      <w:sdtPr>
        <w:alias w:val="Outline Content"/>
        <w:tag w:val="F65643EBE2D546BBB37EBBE1284620EB"/>
        <w:id w:val="-1850869910"/>
        <w:placeholder>
          <w:docPart w:val="9544620B52984FA980DC07B6E214A274"/>
        </w:placeholder>
        <w:showingPlcHdr/>
        <w:richText/>
      </w:sdtPr>
      <w:sdtContent>
        <w:p w:rsidR="00D71291" w:rsidP="00B22C4E" w14:paraId="06172C39" w14:textId="77777777">
          <w:pPr>
            <w:pStyle w:val="ssPara"/>
            <w:rPr>
              <w:color w:val="auto"/>
              <w:shd w:val="clear" w:color="auto" w:fill="auto"/>
            </w:rPr>
          </w:pPr>
        </w:p>
      </w:sdtContent>
    </w:sdt>
    <w:tbl>
      <w:tblPr>
        <w:tblW w:w="0" w:type="auto"/>
        <w:tblInd w:w="-113" w:type="dxa"/>
        <w:tblLook w:val="01E0"/>
      </w:tblPr>
      <w:tblGrid>
        <w:gridCol w:w="7200"/>
      </w:tblGrid>
      <w:tr w14:paraId="518764EB" w14:textId="77777777" w:rsidTr="0008009E">
        <w:tblPrEx>
          <w:tblW w:w="0" w:type="auto"/>
          <w:tblInd w:w="-113" w:type="dxa"/>
          <w:tblLook w:val="01E0"/>
        </w:tblPrEx>
        <w:sdt>
          <w:sdtPr>
            <w:rPr>
              <w:rFonts w:eastAsia="SimSun"/>
            </w:rPr>
            <w:alias w:val="Outline Content"/>
            <w:tag w:val="3ED4E3FEB4D248F2A83FA1F2AB674E52"/>
            <w:id w:val="48349070"/>
            <w:placeholder>
              <w:docPart w:val="8B8879CB8967422F92A18FCA2DF57681"/>
            </w:placeholder>
            <w:showingPlcHdr/>
            <w:richText/>
          </w:sdtPr>
          <w:sdtContent>
            <w:tc>
              <w:tcPr>
                <w:tcW w:w="7200" w:type="dxa"/>
              </w:tcPr>
              <w:p w:rsidR="00D71291" w14:paraId="42083FE1" w14:textId="77777777">
                <w:pPr>
                  <w:pStyle w:val="ssParty"/>
                  <w:rPr>
                    <w:rFonts w:eastAsia="SimSun"/>
                    <w:color w:val="auto"/>
                    <w:shd w:val="clear" w:color="auto" w:fill="auto"/>
                  </w:rPr>
                </w:pPr>
              </w:p>
            </w:tc>
          </w:sdtContent>
        </w:sdt>
      </w:tr>
    </w:tbl>
    <w:p w:rsidR="00172340" w:rsidP="00B22C4E" w14:paraId="52375E77" w14:textId="77777777">
      <w:pPr>
        <w:pStyle w:val="ssPara"/>
        <w:rPr>
          <w:color w:val="auto"/>
          <w:shd w:val="clear" w:color="auto" w:fill="auto"/>
        </w:rPr>
      </w:pPr>
    </w:p>
    <w:p w:rsidR="00BB589D" w:rsidRPr="004E3A4B" w:rsidP="004E3A4B" w14:paraId="312FE5EE" w14:textId="77BB88D3">
      <w:pPr>
        <w:jc w:val="center"/>
        <w:rPr>
          <w:b/>
          <w:bCs/>
          <w:color w:val="FF0000"/>
          <w:shd w:val="clear" w:color="auto" w:fill="auto"/>
        </w:rPr>
      </w:pPr>
      <w:r>
        <w:rPr>
          <w:b/>
          <w:bCs/>
          <w:color w:val="FF0000"/>
        </w:rPr>
        <w:t xml:space="preserve">Drafting note: </w:t>
      </w:r>
      <w:r w:rsidR="00FB41BA">
        <w:rPr>
          <w:b/>
          <w:bCs/>
          <w:color w:val="FF0000"/>
        </w:rPr>
        <w:t>This version assumes the amended COLL15 rules as proposed in CP22/14 will be implemented</w:t>
      </w:r>
      <w:r w:rsidR="00695B66">
        <w:rPr>
          <w:b/>
          <w:bCs/>
          <w:color w:val="FF0000"/>
        </w:rPr>
        <w:t xml:space="preserve"> as set out in the draft S</w:t>
      </w:r>
      <w:r w:rsidR="00B46AE9">
        <w:rPr>
          <w:b/>
          <w:bCs/>
          <w:color w:val="FF0000"/>
        </w:rPr>
        <w:t>tatutory Instrument</w:t>
      </w:r>
    </w:p>
    <w:sdt>
      <w:sdtPr>
        <w:alias w:val="Outline Content"/>
        <w:tag w:val="D2F991D3EE444C52809CAC0FA17AD7EB"/>
        <w:id w:val="1238133951"/>
        <w:placeholder>
          <w:docPart w:val="B9295C6F9C6A4791B7E2E5937E6225C6"/>
        </w:placeholder>
        <w:richText/>
      </w:sdtPr>
      <w:sdtContent>
        <w:p w:rsidR="00135C41" w:rsidRPr="009D4AE6" w:rsidP="00C44B30" w14:paraId="03023369" w14:textId="77777777">
          <w:pPr>
            <w:pStyle w:val="ssContents"/>
            <w:pageBreakBefore/>
            <w:rPr>
              <w:color w:val="auto"/>
              <w:shd w:val="clear" w:color="auto" w:fill="auto"/>
              <w:lang w:val="it-IT"/>
            </w:rPr>
          </w:pPr>
          <w:r w:rsidRPr="009D4AE6">
            <w:rPr>
              <w:lang w:val="it-IT"/>
            </w:rPr>
            <w:t>Contents</w:t>
          </w:r>
        </w:p>
      </w:sdtContent>
    </w:sdt>
    <w:p w:rsidR="0011178A" w14:paraId="5E99474E" w14:textId="3AB571A5">
      <w:pPr>
        <w:pStyle w:val="TOC1"/>
        <w:rPr>
          <w:rFonts w:asciiTheme="minorHAnsi" w:eastAsiaTheme="minorEastAsia" w:hAnsiTheme="minorHAnsi"/>
          <w:noProof/>
          <w:color w:val="auto"/>
          <w:shd w:val="clear" w:color="auto" w:fill="auto"/>
          <w:lang w:eastAsia="zh-CN"/>
        </w:rPr>
      </w:pPr>
      <w:bookmarkStart w:id="0" w:name="BMTOC"/>
      <w:r>
        <w:rPr>
          <w:noProof/>
          <w:lang w:val="en-US"/>
        </w:rPr>
        <w:fldChar w:fldCharType="begin"/>
      </w:r>
      <w:r>
        <w:rPr>
          <w:noProof/>
          <w:lang w:val="en-US"/>
        </w:rPr>
        <w:instrText xml:space="preserve"> TOC \h \z \t "Heading 1,1, SSQTOCAdd,1, ssqAppendix,5,ssqExhibit,5,ssqPart,5,ssqSchedule,5,ssqSection,5,ssqAnnexe,5,ssqListe,5,ssqAgendar,5,ssqAllegato,5,ssqAnexo,5,ssqAnhang,5,ssqAnlage,5,ssqAnnex,5,ssqApéndice,5,ssqAppendice,5,ssqApresentar,5" </w:instrText>
      </w:r>
      <w:r>
        <w:rPr>
          <w:noProof/>
          <w:lang w:val="en-US"/>
        </w:rPr>
        <w:fldChar w:fldCharType="separate"/>
      </w:r>
      <w:r>
        <w:fldChar w:fldCharType="begin"/>
      </w:r>
      <w:r>
        <w:instrText xml:space="preserve"> HYPERLINK \l "_Toc119942025" </w:instrText>
      </w:r>
      <w:r>
        <w:fldChar w:fldCharType="separate"/>
      </w:r>
      <w:r w:rsidRPr="00C834A5">
        <w:rPr>
          <w:rStyle w:val="Hyperlink"/>
          <w:rFonts w:eastAsia="SimSun" w:asciiTheme="majorHAnsi" w:hAnsiTheme="majorHAnsi" w:cstheme="majorHAnsi"/>
          <w:noProof/>
        </w:rPr>
        <w:t>1.</w:t>
      </w:r>
      <w:r>
        <w:rPr>
          <w:rFonts w:asciiTheme="minorHAnsi" w:eastAsiaTheme="minorEastAsia" w:hAnsiTheme="minorHAnsi"/>
          <w:noProof/>
          <w:lang w:eastAsia="zh-CN"/>
        </w:rPr>
        <w:tab/>
      </w:r>
      <w:r w:rsidRPr="00C834A5">
        <w:rPr>
          <w:rStyle w:val="Hyperlink"/>
          <w:rFonts w:eastAsia="SimSun"/>
          <w:noProof/>
        </w:rPr>
        <w:t>Interpretation</w:t>
      </w:r>
      <w:r>
        <w:rPr>
          <w:noProof/>
          <w:webHidden/>
        </w:rPr>
        <w:tab/>
      </w:r>
      <w:r>
        <w:rPr>
          <w:noProof/>
          <w:webHidden/>
        </w:rPr>
        <w:fldChar w:fldCharType="begin"/>
      </w:r>
      <w:r>
        <w:rPr>
          <w:noProof/>
          <w:webHidden/>
        </w:rPr>
        <w:instrText xml:space="preserve"> PAGEREF _Toc119942025 \h </w:instrText>
      </w:r>
      <w:r>
        <w:rPr>
          <w:noProof/>
          <w:webHidden/>
        </w:rPr>
        <w:fldChar w:fldCharType="separate"/>
      </w:r>
      <w:r>
        <w:rPr>
          <w:noProof/>
          <w:webHidden/>
        </w:rPr>
        <w:t>1</w:t>
      </w:r>
      <w:r>
        <w:rPr>
          <w:noProof/>
          <w:webHidden/>
        </w:rPr>
        <w:fldChar w:fldCharType="end"/>
      </w:r>
      <w:r>
        <w:fldChar w:fldCharType="end"/>
      </w:r>
    </w:p>
    <w:p w:rsidR="0011178A" w14:paraId="395154BA" w14:textId="756ABBB7">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"_Toc119942026" </w:instrText>
      </w:r>
      <w:r>
        <w:fldChar w:fldCharType="separate"/>
      </w:r>
      <w:r w:rsidRPr="00C834A5" w:rsidR="00445467">
        <w:rPr>
          <w:rStyle w:val="Hyperlink"/>
          <w:rFonts w:eastAsia="SimSun" w:asciiTheme="majorHAnsi" w:hAnsiTheme="majorHAnsi" w:cstheme="majorHAnsi"/>
          <w:noProof/>
        </w:rPr>
        <w:t>2.</w:t>
      </w:r>
      <w:r w:rsidR="00445467">
        <w:rPr>
          <w:rFonts w:asciiTheme="minorHAnsi" w:eastAsiaTheme="minorEastAsia" w:hAnsiTheme="minorHAnsi"/>
          <w:noProof/>
          <w:lang w:eastAsia="zh-CN"/>
        </w:rPr>
        <w:tab/>
      </w:r>
      <w:r w:rsidRPr="00C834A5" w:rsidR="00445467">
        <w:rPr>
          <w:rStyle w:val="Hyperlink"/>
          <w:rFonts w:eastAsia="SimSun"/>
          <w:noProof/>
        </w:rPr>
        <w:t>Constitution</w:t>
      </w:r>
      <w:r w:rsidR="00445467">
        <w:rPr>
          <w:noProof/>
          <w:webHidden/>
        </w:rPr>
        <w:tab/>
      </w:r>
      <w:r w:rsidR="00445467">
        <w:rPr>
          <w:noProof/>
          <w:webHidden/>
        </w:rPr>
        <w:fldChar w:fldCharType="begin"/>
      </w:r>
      <w:r w:rsidR="00445467">
        <w:rPr>
          <w:noProof/>
          <w:webHidden/>
        </w:rPr>
        <w:instrText xml:space="preserve"> PAGEREF _Toc119942026 \h </w:instrText>
      </w:r>
      <w:r w:rsidR="00445467">
        <w:rPr>
          <w:noProof/>
          <w:webHidden/>
        </w:rPr>
        <w:fldChar w:fldCharType="separate"/>
      </w:r>
      <w:r w:rsidR="00445467">
        <w:rPr>
          <w:noProof/>
          <w:webHidden/>
        </w:rPr>
        <w:t>4</w:t>
      </w:r>
      <w:r w:rsidR="00445467">
        <w:rPr>
          <w:noProof/>
          <w:webHidden/>
        </w:rPr>
        <w:fldChar w:fldCharType="end"/>
      </w:r>
      <w:r>
        <w:fldChar w:fldCharType="end"/>
      </w:r>
    </w:p>
    <w:p w:rsidR="0011178A" w14:paraId="002C31CD" w14:textId="401A7921">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"_Toc119942027" </w:instrText>
      </w:r>
      <w:r>
        <w:fldChar w:fldCharType="separate"/>
      </w:r>
      <w:r w:rsidRPr="00C834A5" w:rsidR="00445467">
        <w:rPr>
          <w:rStyle w:val="Hyperlink"/>
          <w:rFonts w:eastAsia="SimSun" w:asciiTheme="majorHAnsi" w:hAnsiTheme="majorHAnsi" w:cstheme="majorHAnsi"/>
          <w:noProof/>
        </w:rPr>
        <w:t>3.</w:t>
      </w:r>
      <w:r w:rsidR="00445467">
        <w:rPr>
          <w:rFonts w:asciiTheme="minorHAnsi" w:eastAsiaTheme="minorEastAsia" w:hAnsiTheme="minorHAnsi"/>
          <w:noProof/>
          <w:lang w:eastAsia="zh-CN"/>
        </w:rPr>
        <w:tab/>
      </w:r>
      <w:r w:rsidRPr="00C834A5" w:rsidR="00445467">
        <w:rPr>
          <w:rStyle w:val="Hyperlink"/>
          <w:rFonts w:eastAsia="SimSun"/>
          <w:noProof/>
        </w:rPr>
        <w:t>Name</w:t>
      </w:r>
      <w:r w:rsidR="00445467">
        <w:rPr>
          <w:noProof/>
          <w:webHidden/>
        </w:rPr>
        <w:tab/>
      </w:r>
      <w:r w:rsidR="00445467">
        <w:rPr>
          <w:noProof/>
          <w:webHidden/>
        </w:rPr>
        <w:fldChar w:fldCharType="begin"/>
      </w:r>
      <w:r w:rsidR="00445467">
        <w:rPr>
          <w:noProof/>
          <w:webHidden/>
        </w:rPr>
        <w:instrText xml:space="preserve"> PAGEREF _Toc119942027 \h </w:instrText>
      </w:r>
      <w:r w:rsidR="00445467">
        <w:rPr>
          <w:noProof/>
          <w:webHidden/>
        </w:rPr>
        <w:fldChar w:fldCharType="separate"/>
      </w:r>
      <w:r w:rsidR="00445467">
        <w:rPr>
          <w:noProof/>
          <w:webHidden/>
        </w:rPr>
        <w:t>4</w:t>
      </w:r>
      <w:r w:rsidR="00445467">
        <w:rPr>
          <w:noProof/>
          <w:webHidden/>
        </w:rPr>
        <w:fldChar w:fldCharType="end"/>
      </w:r>
      <w:r>
        <w:fldChar w:fldCharType="end"/>
      </w:r>
    </w:p>
    <w:p w:rsidR="0011178A" w14:paraId="3A7F2ADD" w14:textId="1CE985A9">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"_Toc119942028" </w:instrText>
      </w:r>
      <w:r>
        <w:fldChar w:fldCharType="separate"/>
      </w:r>
      <w:r w:rsidRPr="00C834A5" w:rsidR="00445467">
        <w:rPr>
          <w:rStyle w:val="Hyperlink"/>
          <w:rFonts w:eastAsia="SimSun" w:asciiTheme="majorHAnsi" w:hAnsiTheme="majorHAnsi" w:cstheme="majorHAnsi"/>
          <w:noProof/>
        </w:rPr>
        <w:t>4.</w:t>
      </w:r>
      <w:r w:rsidR="00445467">
        <w:rPr>
          <w:rFonts w:asciiTheme="minorHAnsi" w:eastAsiaTheme="minorEastAsia" w:hAnsiTheme="minorHAnsi"/>
          <w:noProof/>
          <w:lang w:eastAsia="zh-CN"/>
        </w:rPr>
        <w:tab/>
      </w:r>
      <w:r w:rsidRPr="00C834A5" w:rsidR="00445467">
        <w:rPr>
          <w:rStyle w:val="Hyperlink"/>
          <w:rFonts w:eastAsia="SimSun"/>
          <w:noProof/>
        </w:rPr>
        <w:t>Duration of the Company</w:t>
      </w:r>
      <w:r w:rsidR="00445467">
        <w:rPr>
          <w:noProof/>
          <w:webHidden/>
        </w:rPr>
        <w:tab/>
      </w:r>
      <w:r w:rsidR="00445467">
        <w:rPr>
          <w:noProof/>
          <w:webHidden/>
        </w:rPr>
        <w:fldChar w:fldCharType="begin"/>
      </w:r>
      <w:r w:rsidR="00445467">
        <w:rPr>
          <w:noProof/>
          <w:webHidden/>
        </w:rPr>
        <w:instrText xml:space="preserve"> PAGEREF _Toc119942028 \h </w:instrText>
      </w:r>
      <w:r w:rsidR="00445467">
        <w:rPr>
          <w:noProof/>
          <w:webHidden/>
        </w:rPr>
        <w:fldChar w:fldCharType="separate"/>
      </w:r>
      <w:r w:rsidR="00445467">
        <w:rPr>
          <w:noProof/>
          <w:webHidden/>
        </w:rPr>
        <w:t>5</w:t>
      </w:r>
      <w:r w:rsidR="00445467">
        <w:rPr>
          <w:noProof/>
          <w:webHidden/>
        </w:rPr>
        <w:fldChar w:fldCharType="end"/>
      </w:r>
      <w:r>
        <w:fldChar w:fldCharType="end"/>
      </w:r>
    </w:p>
    <w:p w:rsidR="0011178A" w14:paraId="3B9C2C44" w14:textId="7AC98978">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"_Toc119942029" </w:instrText>
      </w:r>
      <w:r>
        <w:fldChar w:fldCharType="separate"/>
      </w:r>
      <w:r w:rsidRPr="00C834A5" w:rsidR="00445467">
        <w:rPr>
          <w:rStyle w:val="Hyperlink"/>
          <w:rFonts w:eastAsia="SimSun" w:asciiTheme="majorHAnsi" w:hAnsiTheme="majorHAnsi" w:cstheme="majorHAnsi"/>
          <w:noProof/>
        </w:rPr>
        <w:t>5.</w:t>
      </w:r>
      <w:r w:rsidR="00445467">
        <w:rPr>
          <w:rFonts w:asciiTheme="minorHAnsi" w:eastAsiaTheme="minorEastAsia" w:hAnsiTheme="minorHAnsi"/>
          <w:noProof/>
          <w:lang w:eastAsia="zh-CN"/>
        </w:rPr>
        <w:tab/>
      </w:r>
      <w:r w:rsidRPr="00C834A5" w:rsidR="00445467">
        <w:rPr>
          <w:rStyle w:val="Hyperlink"/>
          <w:rFonts w:eastAsia="SimSun"/>
          <w:noProof/>
        </w:rPr>
        <w:t>Designated Person</w:t>
      </w:r>
      <w:r w:rsidR="00445467">
        <w:rPr>
          <w:noProof/>
          <w:webHidden/>
        </w:rPr>
        <w:tab/>
      </w:r>
      <w:r w:rsidR="00445467">
        <w:rPr>
          <w:noProof/>
          <w:webHidden/>
        </w:rPr>
        <w:fldChar w:fldCharType="begin"/>
      </w:r>
      <w:r w:rsidR="00445467">
        <w:rPr>
          <w:noProof/>
          <w:webHidden/>
        </w:rPr>
        <w:instrText xml:space="preserve"> PAGEREF _Toc119942029 \h </w:instrText>
      </w:r>
      <w:r w:rsidR="00445467">
        <w:rPr>
          <w:noProof/>
          <w:webHidden/>
        </w:rPr>
        <w:fldChar w:fldCharType="separate"/>
      </w:r>
      <w:r w:rsidR="00445467">
        <w:rPr>
          <w:noProof/>
          <w:webHidden/>
        </w:rPr>
        <w:t>5</w:t>
      </w:r>
      <w:r w:rsidR="00445467">
        <w:rPr>
          <w:noProof/>
          <w:webHidden/>
        </w:rPr>
        <w:fldChar w:fldCharType="end"/>
      </w:r>
      <w:r>
        <w:fldChar w:fldCharType="end"/>
      </w:r>
    </w:p>
    <w:p w:rsidR="0011178A" w14:paraId="715AF59B" w14:textId="37228FD9">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"_Toc119942030" </w:instrText>
      </w:r>
      <w:r>
        <w:fldChar w:fldCharType="separate"/>
      </w:r>
      <w:r w:rsidRPr="00C834A5" w:rsidR="00445467">
        <w:rPr>
          <w:rStyle w:val="Hyperlink"/>
          <w:rFonts w:eastAsia="SimSun" w:asciiTheme="majorHAnsi" w:hAnsiTheme="majorHAnsi" w:cstheme="majorHAnsi"/>
          <w:noProof/>
        </w:rPr>
        <w:t>6.</w:t>
      </w:r>
      <w:r w:rsidR="00445467">
        <w:rPr>
          <w:rFonts w:asciiTheme="minorHAnsi" w:eastAsiaTheme="minorEastAsia" w:hAnsiTheme="minorHAnsi"/>
          <w:noProof/>
          <w:lang w:eastAsia="zh-CN"/>
        </w:rPr>
        <w:tab/>
      </w:r>
      <w:r w:rsidRPr="00C834A5" w:rsidR="00445467">
        <w:rPr>
          <w:rStyle w:val="Hyperlink"/>
          <w:rFonts w:eastAsia="SimSun"/>
          <w:noProof/>
        </w:rPr>
        <w:t>Powers of ACD and Depositary</w:t>
      </w:r>
      <w:r w:rsidR="00445467">
        <w:rPr>
          <w:noProof/>
          <w:webHidden/>
        </w:rPr>
        <w:tab/>
      </w:r>
      <w:r w:rsidR="00445467">
        <w:rPr>
          <w:noProof/>
          <w:webHidden/>
        </w:rPr>
        <w:fldChar w:fldCharType="begin"/>
      </w:r>
      <w:r w:rsidR="00445467">
        <w:rPr>
          <w:noProof/>
          <w:webHidden/>
        </w:rPr>
        <w:instrText xml:space="preserve"> PAGEREF _Toc119942030 \h </w:instrText>
      </w:r>
      <w:r w:rsidR="00445467">
        <w:rPr>
          <w:noProof/>
          <w:webHidden/>
        </w:rPr>
        <w:fldChar w:fldCharType="separate"/>
      </w:r>
      <w:r w:rsidR="00445467">
        <w:rPr>
          <w:noProof/>
          <w:webHidden/>
        </w:rPr>
        <w:t>5</w:t>
      </w:r>
      <w:r w:rsidR="00445467">
        <w:rPr>
          <w:noProof/>
          <w:webHidden/>
        </w:rPr>
        <w:fldChar w:fldCharType="end"/>
      </w:r>
      <w:r>
        <w:fldChar w:fldCharType="end"/>
      </w:r>
    </w:p>
    <w:p w:rsidR="0011178A" w14:paraId="498D3165" w14:textId="6680E997">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"_Toc119942031" </w:instrText>
      </w:r>
      <w:r>
        <w:fldChar w:fldCharType="separate"/>
      </w:r>
      <w:r w:rsidRPr="00C834A5" w:rsidR="00445467">
        <w:rPr>
          <w:rStyle w:val="Hyperlink"/>
          <w:rFonts w:eastAsia="SimSun" w:asciiTheme="majorHAnsi" w:hAnsiTheme="majorHAnsi" w:cstheme="majorHAnsi"/>
          <w:noProof/>
        </w:rPr>
        <w:t>7.</w:t>
      </w:r>
      <w:r w:rsidR="00445467">
        <w:rPr>
          <w:rFonts w:asciiTheme="minorHAnsi" w:eastAsiaTheme="minorEastAsia" w:hAnsiTheme="minorHAnsi"/>
          <w:noProof/>
          <w:lang w:eastAsia="zh-CN"/>
        </w:rPr>
        <w:tab/>
      </w:r>
      <w:r w:rsidRPr="00C834A5" w:rsidR="00445467">
        <w:rPr>
          <w:rStyle w:val="Hyperlink"/>
          <w:rFonts w:eastAsia="SimSun"/>
          <w:noProof/>
        </w:rPr>
        <w:t>Object</w:t>
      </w:r>
      <w:r w:rsidR="00445467">
        <w:rPr>
          <w:noProof/>
          <w:webHidden/>
        </w:rPr>
        <w:tab/>
      </w:r>
      <w:r w:rsidR="00445467">
        <w:rPr>
          <w:noProof/>
          <w:webHidden/>
        </w:rPr>
        <w:fldChar w:fldCharType="begin"/>
      </w:r>
      <w:r w:rsidR="00445467">
        <w:rPr>
          <w:noProof/>
          <w:webHidden/>
        </w:rPr>
        <w:instrText xml:space="preserve"> PAGEREF _Toc119942031 \h </w:instrText>
      </w:r>
      <w:r w:rsidR="00445467">
        <w:rPr>
          <w:noProof/>
          <w:webHidden/>
        </w:rPr>
        <w:fldChar w:fldCharType="separate"/>
      </w:r>
      <w:r w:rsidR="00445467">
        <w:rPr>
          <w:noProof/>
          <w:webHidden/>
        </w:rPr>
        <w:t>5</w:t>
      </w:r>
      <w:r w:rsidR="00445467">
        <w:rPr>
          <w:noProof/>
          <w:webHidden/>
        </w:rPr>
        <w:fldChar w:fldCharType="end"/>
      </w:r>
      <w:r>
        <w:fldChar w:fldCharType="end"/>
      </w:r>
    </w:p>
    <w:p w:rsidR="0011178A" w14:paraId="48ACD3B8" w14:textId="47BCA547">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"_Toc119942032" </w:instrText>
      </w:r>
      <w:r>
        <w:fldChar w:fldCharType="separate"/>
      </w:r>
      <w:r w:rsidRPr="00C834A5" w:rsidR="00445467">
        <w:rPr>
          <w:rStyle w:val="Hyperlink"/>
          <w:rFonts w:eastAsia="SimSun" w:asciiTheme="majorHAnsi" w:hAnsiTheme="majorHAnsi" w:cstheme="majorHAnsi"/>
          <w:noProof/>
        </w:rPr>
        <w:t>8.</w:t>
      </w:r>
      <w:r w:rsidR="00445467">
        <w:rPr>
          <w:rFonts w:asciiTheme="minorHAnsi" w:eastAsiaTheme="minorEastAsia" w:hAnsiTheme="minorHAnsi"/>
          <w:noProof/>
          <w:lang w:eastAsia="zh-CN"/>
        </w:rPr>
        <w:tab/>
      </w:r>
      <w:r w:rsidRPr="00C834A5" w:rsidR="00445467">
        <w:rPr>
          <w:rStyle w:val="Hyperlink"/>
          <w:rFonts w:eastAsia="SimSun"/>
          <w:noProof/>
        </w:rPr>
        <w:t>Type of Company and Regulatory Designations</w:t>
      </w:r>
      <w:r w:rsidR="00445467">
        <w:rPr>
          <w:noProof/>
          <w:webHidden/>
        </w:rPr>
        <w:tab/>
      </w:r>
      <w:r w:rsidR="00445467">
        <w:rPr>
          <w:noProof/>
          <w:webHidden/>
        </w:rPr>
        <w:fldChar w:fldCharType="begin"/>
      </w:r>
      <w:r w:rsidR="00445467">
        <w:rPr>
          <w:noProof/>
          <w:webHidden/>
        </w:rPr>
        <w:instrText xml:space="preserve"> PAGEREF _Toc119942032 \h </w:instrText>
      </w:r>
      <w:r w:rsidR="00445467">
        <w:rPr>
          <w:noProof/>
          <w:webHidden/>
        </w:rPr>
        <w:fldChar w:fldCharType="separate"/>
      </w:r>
      <w:r w:rsidR="00445467">
        <w:rPr>
          <w:noProof/>
          <w:webHidden/>
        </w:rPr>
        <w:t>5</w:t>
      </w:r>
      <w:r w:rsidR="00445467">
        <w:rPr>
          <w:noProof/>
          <w:webHidden/>
        </w:rPr>
        <w:fldChar w:fldCharType="end"/>
      </w:r>
      <w:r>
        <w:fldChar w:fldCharType="end"/>
      </w:r>
    </w:p>
    <w:p w:rsidR="0011178A" w14:paraId="2943267E" w14:textId="5A69C6BB">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"_Toc119942033" </w:instrText>
      </w:r>
      <w:r>
        <w:fldChar w:fldCharType="separate"/>
      </w:r>
      <w:r w:rsidRPr="00C834A5" w:rsidR="00445467">
        <w:rPr>
          <w:rStyle w:val="Hyperlink"/>
          <w:rFonts w:eastAsia="SimSun" w:asciiTheme="majorHAnsi" w:hAnsiTheme="majorHAnsi" w:cstheme="majorHAnsi"/>
          <w:noProof/>
        </w:rPr>
        <w:t>9.</w:t>
      </w:r>
      <w:r w:rsidR="00445467">
        <w:rPr>
          <w:rFonts w:asciiTheme="minorHAnsi" w:eastAsiaTheme="minorEastAsia" w:hAnsiTheme="minorHAnsi"/>
          <w:noProof/>
          <w:lang w:eastAsia="zh-CN"/>
        </w:rPr>
        <w:tab/>
      </w:r>
      <w:r w:rsidRPr="00C834A5" w:rsidR="00445467">
        <w:rPr>
          <w:rStyle w:val="Hyperlink"/>
          <w:rFonts w:eastAsia="SimSun"/>
          <w:noProof/>
        </w:rPr>
        <w:t>[Funds]</w:t>
      </w:r>
      <w:r w:rsidR="00445467">
        <w:rPr>
          <w:noProof/>
          <w:webHidden/>
        </w:rPr>
        <w:tab/>
      </w:r>
      <w:r w:rsidR="00445467">
        <w:rPr>
          <w:noProof/>
          <w:webHidden/>
        </w:rPr>
        <w:fldChar w:fldCharType="begin"/>
      </w:r>
      <w:r w:rsidR="00445467">
        <w:rPr>
          <w:noProof/>
          <w:webHidden/>
        </w:rPr>
        <w:instrText xml:space="preserve"> PAGEREF _Toc119942033 \h </w:instrText>
      </w:r>
      <w:r w:rsidR="00445467">
        <w:rPr>
          <w:noProof/>
          <w:webHidden/>
        </w:rPr>
        <w:fldChar w:fldCharType="separate"/>
      </w:r>
      <w:r w:rsidR="00445467">
        <w:rPr>
          <w:noProof/>
          <w:webHidden/>
        </w:rPr>
        <w:t>5</w:t>
      </w:r>
      <w:r w:rsidR="00445467">
        <w:rPr>
          <w:noProof/>
          <w:webHidden/>
        </w:rPr>
        <w:fldChar w:fldCharType="end"/>
      </w:r>
      <w:r>
        <w:fldChar w:fldCharType="end"/>
      </w:r>
    </w:p>
    <w:p w:rsidR="0011178A" w14:paraId="102871CA" w14:textId="012C91E5">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"_Toc119942034" </w:instrText>
      </w:r>
      <w:r>
        <w:fldChar w:fldCharType="separate"/>
      </w:r>
      <w:r w:rsidRPr="00C834A5" w:rsidR="00445467">
        <w:rPr>
          <w:rStyle w:val="Hyperlink"/>
          <w:rFonts w:eastAsia="SimSun" w:asciiTheme="majorHAnsi" w:hAnsiTheme="majorHAnsi" w:cstheme="majorHAnsi"/>
          <w:noProof/>
          <w:spacing w:val="-2"/>
        </w:rPr>
        <w:t>10.</w:t>
      </w:r>
      <w:r w:rsidR="00445467">
        <w:rPr>
          <w:rFonts w:asciiTheme="minorHAnsi" w:eastAsiaTheme="minorEastAsia" w:hAnsiTheme="minorHAnsi"/>
          <w:noProof/>
          <w:lang w:eastAsia="zh-CN"/>
        </w:rPr>
        <w:tab/>
      </w:r>
      <w:r w:rsidRPr="00C834A5" w:rsidR="00445467">
        <w:rPr>
          <w:rStyle w:val="Hyperlink"/>
          <w:rFonts w:eastAsia="SimSun"/>
          <w:noProof/>
        </w:rPr>
        <w:t>Base Currency</w:t>
      </w:r>
      <w:r w:rsidR="00445467">
        <w:rPr>
          <w:noProof/>
          <w:webHidden/>
        </w:rPr>
        <w:tab/>
      </w:r>
      <w:r w:rsidR="00445467">
        <w:rPr>
          <w:noProof/>
          <w:webHidden/>
        </w:rPr>
        <w:fldChar w:fldCharType="begin"/>
      </w:r>
      <w:r w:rsidR="00445467">
        <w:rPr>
          <w:noProof/>
          <w:webHidden/>
        </w:rPr>
        <w:instrText xml:space="preserve"> PAGEREF _Toc119942034 \h </w:instrText>
      </w:r>
      <w:r w:rsidR="00445467">
        <w:rPr>
          <w:noProof/>
          <w:webHidden/>
        </w:rPr>
        <w:fldChar w:fldCharType="separate"/>
      </w:r>
      <w:r w:rsidR="00445467">
        <w:rPr>
          <w:noProof/>
          <w:webHidden/>
        </w:rPr>
        <w:t>6</w:t>
      </w:r>
      <w:r w:rsidR="00445467">
        <w:rPr>
          <w:noProof/>
          <w:webHidden/>
        </w:rPr>
        <w:fldChar w:fldCharType="end"/>
      </w:r>
      <w:r>
        <w:fldChar w:fldCharType="end"/>
      </w:r>
    </w:p>
    <w:p w:rsidR="0011178A" w14:paraId="7AA206D4" w14:textId="2CB274AC">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"_Toc119942035" </w:instrText>
      </w:r>
      <w:r>
        <w:fldChar w:fldCharType="separate"/>
      </w:r>
      <w:r w:rsidRPr="00C834A5" w:rsidR="00445467">
        <w:rPr>
          <w:rStyle w:val="Hyperlink"/>
          <w:rFonts w:eastAsia="SimSun" w:asciiTheme="majorHAnsi" w:hAnsiTheme="majorHAnsi" w:cstheme="majorHAnsi"/>
          <w:noProof/>
          <w:spacing w:val="-2"/>
        </w:rPr>
        <w:t>11.</w:t>
      </w:r>
      <w:r w:rsidR="00445467">
        <w:rPr>
          <w:rFonts w:asciiTheme="minorHAnsi" w:eastAsiaTheme="minorEastAsia" w:hAnsiTheme="minorHAnsi"/>
          <w:noProof/>
          <w:lang w:eastAsia="zh-CN"/>
        </w:rPr>
        <w:tab/>
      </w:r>
      <w:r w:rsidRPr="00C834A5" w:rsidR="00445467">
        <w:rPr>
          <w:rStyle w:val="Hyperlink"/>
          <w:rFonts w:eastAsia="SimSun"/>
          <w:noProof/>
        </w:rPr>
        <w:t>Share Capital</w:t>
      </w:r>
      <w:r w:rsidR="00445467">
        <w:rPr>
          <w:noProof/>
          <w:webHidden/>
        </w:rPr>
        <w:tab/>
      </w:r>
      <w:r w:rsidR="00445467">
        <w:rPr>
          <w:noProof/>
          <w:webHidden/>
        </w:rPr>
        <w:fldChar w:fldCharType="begin"/>
      </w:r>
      <w:r w:rsidR="00445467">
        <w:rPr>
          <w:noProof/>
          <w:webHidden/>
        </w:rPr>
        <w:instrText xml:space="preserve"> PAGEREF _Toc119942035 \h </w:instrText>
      </w:r>
      <w:r w:rsidR="00445467">
        <w:rPr>
          <w:noProof/>
          <w:webHidden/>
        </w:rPr>
        <w:fldChar w:fldCharType="separate"/>
      </w:r>
      <w:r w:rsidR="00445467">
        <w:rPr>
          <w:noProof/>
          <w:webHidden/>
        </w:rPr>
        <w:t>6</w:t>
      </w:r>
      <w:r w:rsidR="00445467">
        <w:rPr>
          <w:noProof/>
          <w:webHidden/>
        </w:rPr>
        <w:fldChar w:fldCharType="end"/>
      </w:r>
      <w:r>
        <w:fldChar w:fldCharType="end"/>
      </w:r>
    </w:p>
    <w:p w:rsidR="0011178A" w14:paraId="34ECF8EA" w14:textId="0E8254B4">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"_Toc119942036" </w:instrText>
      </w:r>
      <w:r>
        <w:fldChar w:fldCharType="separate"/>
      </w:r>
      <w:r w:rsidRPr="00C834A5" w:rsidR="00445467">
        <w:rPr>
          <w:rStyle w:val="Hyperlink"/>
          <w:rFonts w:eastAsia="SimSun" w:asciiTheme="majorHAnsi" w:hAnsiTheme="majorHAnsi" w:cstheme="majorHAnsi"/>
          <w:noProof/>
          <w:spacing w:val="-2"/>
        </w:rPr>
        <w:t>12.</w:t>
      </w:r>
      <w:r w:rsidR="00445467">
        <w:rPr>
          <w:rFonts w:asciiTheme="minorHAnsi" w:eastAsiaTheme="minorEastAsia" w:hAnsiTheme="minorHAnsi"/>
          <w:noProof/>
          <w:lang w:eastAsia="zh-CN"/>
        </w:rPr>
        <w:tab/>
      </w:r>
      <w:r w:rsidRPr="00C834A5" w:rsidR="00445467">
        <w:rPr>
          <w:rStyle w:val="Hyperlink"/>
          <w:rFonts w:eastAsia="SimSun"/>
          <w:noProof/>
        </w:rPr>
        <w:t>Classes of Share and Preferential Treatment</w:t>
      </w:r>
      <w:r w:rsidR="00445467">
        <w:rPr>
          <w:noProof/>
          <w:webHidden/>
        </w:rPr>
        <w:tab/>
      </w:r>
      <w:r w:rsidR="00445467">
        <w:rPr>
          <w:noProof/>
          <w:webHidden/>
        </w:rPr>
        <w:fldChar w:fldCharType="begin"/>
      </w:r>
      <w:r w:rsidR="00445467">
        <w:rPr>
          <w:noProof/>
          <w:webHidden/>
        </w:rPr>
        <w:instrText xml:space="preserve"> PAGEREF _Toc119942036 \h </w:instrText>
      </w:r>
      <w:r w:rsidR="00445467">
        <w:rPr>
          <w:noProof/>
          <w:webHidden/>
        </w:rPr>
        <w:fldChar w:fldCharType="separate"/>
      </w:r>
      <w:r w:rsidR="00445467">
        <w:rPr>
          <w:noProof/>
          <w:webHidden/>
        </w:rPr>
        <w:t>6</w:t>
      </w:r>
      <w:r w:rsidR="00445467">
        <w:rPr>
          <w:noProof/>
          <w:webHidden/>
        </w:rPr>
        <w:fldChar w:fldCharType="end"/>
      </w:r>
      <w:r>
        <w:fldChar w:fldCharType="end"/>
      </w:r>
    </w:p>
    <w:p w:rsidR="0011178A" w14:paraId="0215F344" w14:textId="7AF2862F">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"_Toc119942037" </w:instrText>
      </w:r>
      <w:r>
        <w:fldChar w:fldCharType="separate"/>
      </w:r>
      <w:r w:rsidRPr="00C834A5" w:rsidR="00445467">
        <w:rPr>
          <w:rStyle w:val="Hyperlink"/>
          <w:rFonts w:eastAsia="SimSun" w:asciiTheme="majorHAnsi" w:hAnsiTheme="majorHAnsi" w:cstheme="majorHAnsi"/>
          <w:noProof/>
          <w:spacing w:val="-2"/>
        </w:rPr>
        <w:t>13.</w:t>
      </w:r>
      <w:r w:rsidR="00445467">
        <w:rPr>
          <w:rFonts w:asciiTheme="minorHAnsi" w:eastAsiaTheme="minorEastAsia" w:hAnsiTheme="minorHAnsi"/>
          <w:noProof/>
          <w:lang w:eastAsia="zh-CN"/>
        </w:rPr>
        <w:tab/>
      </w:r>
      <w:r w:rsidRPr="00C834A5" w:rsidR="00445467">
        <w:rPr>
          <w:rStyle w:val="Hyperlink"/>
          <w:rFonts w:eastAsia="SimSun"/>
          <w:noProof/>
          <w:spacing w:val="-2"/>
        </w:rPr>
        <w:t>[Side pockets]</w:t>
      </w:r>
      <w:r w:rsidR="00445467">
        <w:rPr>
          <w:noProof/>
          <w:webHidden/>
        </w:rPr>
        <w:tab/>
      </w:r>
      <w:r w:rsidR="00445467">
        <w:rPr>
          <w:noProof/>
          <w:webHidden/>
        </w:rPr>
        <w:fldChar w:fldCharType="begin"/>
      </w:r>
      <w:r w:rsidR="00445467">
        <w:rPr>
          <w:noProof/>
          <w:webHidden/>
        </w:rPr>
        <w:instrText xml:space="preserve"> PAGEREF _Toc119942037 \h </w:instrText>
      </w:r>
      <w:r w:rsidR="00445467">
        <w:rPr>
          <w:noProof/>
          <w:webHidden/>
        </w:rPr>
        <w:fldChar w:fldCharType="separate"/>
      </w:r>
      <w:r w:rsidR="00445467">
        <w:rPr>
          <w:noProof/>
          <w:webHidden/>
        </w:rPr>
        <w:t>8</w:t>
      </w:r>
      <w:r w:rsidR="00445467">
        <w:rPr>
          <w:noProof/>
          <w:webHidden/>
        </w:rPr>
        <w:fldChar w:fldCharType="end"/>
      </w:r>
      <w:r>
        <w:fldChar w:fldCharType="end"/>
      </w:r>
    </w:p>
    <w:p w:rsidR="0011178A" w14:paraId="1F222B68" w14:textId="60BFA33A">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"_Toc119942038" </w:instrText>
      </w:r>
      <w:r>
        <w:fldChar w:fldCharType="separate"/>
      </w:r>
      <w:r w:rsidRPr="00C834A5" w:rsidR="00445467">
        <w:rPr>
          <w:rStyle w:val="Hyperlink"/>
          <w:rFonts w:eastAsia="SimSun" w:asciiTheme="majorHAnsi" w:hAnsiTheme="majorHAnsi" w:cstheme="majorHAnsi"/>
          <w:noProof/>
          <w:spacing w:val="-2"/>
        </w:rPr>
        <w:t>14.</w:t>
      </w:r>
      <w:r w:rsidR="00445467">
        <w:rPr>
          <w:rFonts w:asciiTheme="minorHAnsi" w:eastAsiaTheme="minorEastAsia" w:hAnsiTheme="minorHAnsi"/>
          <w:noProof/>
          <w:lang w:eastAsia="zh-CN"/>
        </w:rPr>
        <w:tab/>
      </w:r>
      <w:r w:rsidRPr="00C834A5" w:rsidR="00445467">
        <w:rPr>
          <w:rStyle w:val="Hyperlink"/>
          <w:rFonts w:eastAsia="SimSun"/>
          <w:noProof/>
        </w:rPr>
        <w:t>Valuation and Pricing</w:t>
      </w:r>
      <w:r w:rsidR="00445467">
        <w:rPr>
          <w:noProof/>
          <w:webHidden/>
        </w:rPr>
        <w:tab/>
      </w:r>
      <w:r w:rsidR="00445467">
        <w:rPr>
          <w:noProof/>
          <w:webHidden/>
        </w:rPr>
        <w:fldChar w:fldCharType="begin"/>
      </w:r>
      <w:r w:rsidR="00445467">
        <w:rPr>
          <w:noProof/>
          <w:webHidden/>
        </w:rPr>
        <w:instrText xml:space="preserve"> PAGEREF _Toc119942038 \h </w:instrText>
      </w:r>
      <w:r w:rsidR="00445467">
        <w:rPr>
          <w:noProof/>
          <w:webHidden/>
        </w:rPr>
        <w:fldChar w:fldCharType="separate"/>
      </w:r>
      <w:r w:rsidR="00445467">
        <w:rPr>
          <w:noProof/>
          <w:webHidden/>
        </w:rPr>
        <w:t>9</w:t>
      </w:r>
      <w:r w:rsidR="00445467">
        <w:rPr>
          <w:noProof/>
          <w:webHidden/>
        </w:rPr>
        <w:fldChar w:fldCharType="end"/>
      </w:r>
      <w:r>
        <w:fldChar w:fldCharType="end"/>
      </w:r>
    </w:p>
    <w:p w:rsidR="0011178A" w14:paraId="7CE7F4FE" w14:textId="1C9D1064">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"_Toc119942039" </w:instrText>
      </w:r>
      <w:r>
        <w:fldChar w:fldCharType="separate"/>
      </w:r>
      <w:r w:rsidRPr="00C834A5" w:rsidR="00445467">
        <w:rPr>
          <w:rStyle w:val="Hyperlink"/>
          <w:rFonts w:eastAsia="SimSun" w:asciiTheme="majorHAnsi" w:hAnsiTheme="majorHAnsi" w:cstheme="majorHAnsi"/>
          <w:noProof/>
        </w:rPr>
        <w:t>15.</w:t>
      </w:r>
      <w:r w:rsidR="00445467">
        <w:rPr>
          <w:rFonts w:asciiTheme="minorHAnsi" w:eastAsiaTheme="minorEastAsia" w:hAnsiTheme="minorHAnsi"/>
          <w:noProof/>
          <w:lang w:eastAsia="zh-CN"/>
        </w:rPr>
        <w:tab/>
      </w:r>
      <w:r w:rsidRPr="00C834A5" w:rsidR="00445467">
        <w:rPr>
          <w:rStyle w:val="Hyperlink"/>
          <w:rFonts w:eastAsia="SimSun"/>
          <w:noProof/>
        </w:rPr>
        <w:t>Issue, Cancellation, Sale and Redemption of Shares</w:t>
      </w:r>
      <w:r w:rsidR="00445467">
        <w:rPr>
          <w:noProof/>
          <w:webHidden/>
        </w:rPr>
        <w:tab/>
      </w:r>
      <w:r w:rsidR="00445467">
        <w:rPr>
          <w:noProof/>
          <w:webHidden/>
        </w:rPr>
        <w:fldChar w:fldCharType="begin"/>
      </w:r>
      <w:r w:rsidR="00445467">
        <w:rPr>
          <w:noProof/>
          <w:webHidden/>
        </w:rPr>
        <w:instrText xml:space="preserve"> PAGEREF _Toc119942039 \h </w:instrText>
      </w:r>
      <w:r w:rsidR="00445467">
        <w:rPr>
          <w:noProof/>
          <w:webHidden/>
        </w:rPr>
        <w:fldChar w:fldCharType="separate"/>
      </w:r>
      <w:r w:rsidR="00445467">
        <w:rPr>
          <w:noProof/>
          <w:webHidden/>
        </w:rPr>
        <w:t>9</w:t>
      </w:r>
      <w:r w:rsidR="00445467">
        <w:rPr>
          <w:noProof/>
          <w:webHidden/>
        </w:rPr>
        <w:fldChar w:fldCharType="end"/>
      </w:r>
      <w:r>
        <w:fldChar w:fldCharType="end"/>
      </w:r>
    </w:p>
    <w:p w:rsidR="0011178A" w14:paraId="69AEBEAA" w14:textId="2FE0BD38">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"_Toc119942040" </w:instrText>
      </w:r>
      <w:r>
        <w:fldChar w:fldCharType="separate"/>
      </w:r>
      <w:r w:rsidRPr="00C834A5" w:rsidR="00445467">
        <w:rPr>
          <w:rStyle w:val="Hyperlink"/>
          <w:rFonts w:eastAsia="SimSun" w:asciiTheme="majorHAnsi" w:hAnsiTheme="majorHAnsi" w:cstheme="majorHAnsi"/>
          <w:noProof/>
        </w:rPr>
        <w:t>16.</w:t>
      </w:r>
      <w:r w:rsidR="00445467">
        <w:rPr>
          <w:rFonts w:asciiTheme="minorHAnsi" w:eastAsiaTheme="minorEastAsia" w:hAnsiTheme="minorHAnsi"/>
          <w:noProof/>
          <w:lang w:eastAsia="zh-CN"/>
        </w:rPr>
        <w:tab/>
      </w:r>
      <w:r w:rsidRPr="00C834A5" w:rsidR="00445467">
        <w:rPr>
          <w:rStyle w:val="Hyperlink"/>
          <w:rFonts w:eastAsia="SimSun"/>
          <w:noProof/>
        </w:rPr>
        <w:t>Exchange of Shares etc</w:t>
      </w:r>
      <w:r w:rsidR="00445467">
        <w:rPr>
          <w:noProof/>
          <w:webHidden/>
        </w:rPr>
        <w:tab/>
      </w:r>
      <w:r w:rsidR="00445467">
        <w:rPr>
          <w:noProof/>
          <w:webHidden/>
        </w:rPr>
        <w:fldChar w:fldCharType="begin"/>
      </w:r>
      <w:r w:rsidR="00445467">
        <w:rPr>
          <w:noProof/>
          <w:webHidden/>
        </w:rPr>
        <w:instrText xml:space="preserve"> PAGEREF _Toc119942040 \h </w:instrText>
      </w:r>
      <w:r w:rsidR="00445467">
        <w:rPr>
          <w:noProof/>
          <w:webHidden/>
        </w:rPr>
        <w:fldChar w:fldCharType="separate"/>
      </w:r>
      <w:r w:rsidR="00445467">
        <w:rPr>
          <w:noProof/>
          <w:webHidden/>
        </w:rPr>
        <w:t>10</w:t>
      </w:r>
      <w:r w:rsidR="00445467">
        <w:rPr>
          <w:noProof/>
          <w:webHidden/>
        </w:rPr>
        <w:fldChar w:fldCharType="end"/>
      </w:r>
      <w:r>
        <w:fldChar w:fldCharType="end"/>
      </w:r>
    </w:p>
    <w:p w:rsidR="0011178A" w14:paraId="6FD56C7A" w14:textId="4D74AE8B">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"_Toc119942041" </w:instrText>
      </w:r>
      <w:r>
        <w:fldChar w:fldCharType="separate"/>
      </w:r>
      <w:r w:rsidRPr="00C834A5" w:rsidR="00445467">
        <w:rPr>
          <w:rStyle w:val="Hyperlink"/>
          <w:rFonts w:eastAsia="SimSun" w:asciiTheme="majorHAnsi" w:hAnsiTheme="majorHAnsi" w:cstheme="majorHAnsi"/>
          <w:noProof/>
        </w:rPr>
        <w:t>17.</w:t>
      </w:r>
      <w:r w:rsidR="00445467">
        <w:rPr>
          <w:rFonts w:asciiTheme="minorHAnsi" w:eastAsiaTheme="minorEastAsia" w:hAnsiTheme="minorHAnsi"/>
          <w:noProof/>
          <w:lang w:eastAsia="zh-CN"/>
        </w:rPr>
        <w:tab/>
      </w:r>
      <w:r w:rsidRPr="00C834A5" w:rsidR="00445467">
        <w:rPr>
          <w:rStyle w:val="Hyperlink"/>
          <w:rFonts w:eastAsia="SimSun"/>
          <w:noProof/>
        </w:rPr>
        <w:t>Restrictions on Holding Shares</w:t>
      </w:r>
      <w:r w:rsidR="00445467">
        <w:rPr>
          <w:noProof/>
          <w:webHidden/>
        </w:rPr>
        <w:tab/>
      </w:r>
      <w:r w:rsidR="00445467">
        <w:rPr>
          <w:noProof/>
          <w:webHidden/>
        </w:rPr>
        <w:fldChar w:fldCharType="begin"/>
      </w:r>
      <w:r w:rsidR="00445467">
        <w:rPr>
          <w:noProof/>
          <w:webHidden/>
        </w:rPr>
        <w:instrText xml:space="preserve"> PAGEREF _Toc119942041 \h </w:instrText>
      </w:r>
      <w:r w:rsidR="00445467">
        <w:rPr>
          <w:noProof/>
          <w:webHidden/>
        </w:rPr>
        <w:fldChar w:fldCharType="separate"/>
      </w:r>
      <w:r w:rsidR="00445467">
        <w:rPr>
          <w:noProof/>
          <w:webHidden/>
        </w:rPr>
        <w:t>11</w:t>
      </w:r>
      <w:r w:rsidR="00445467">
        <w:rPr>
          <w:noProof/>
          <w:webHidden/>
        </w:rPr>
        <w:fldChar w:fldCharType="end"/>
      </w:r>
      <w:r>
        <w:fldChar w:fldCharType="end"/>
      </w:r>
    </w:p>
    <w:p w:rsidR="0011178A" w14:paraId="69AF73A9" w14:textId="1BB64E2F">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"_Toc119942042" </w:instrText>
      </w:r>
      <w:r>
        <w:fldChar w:fldCharType="separate"/>
      </w:r>
      <w:r w:rsidRPr="00C834A5" w:rsidR="00445467">
        <w:rPr>
          <w:rStyle w:val="Hyperlink"/>
          <w:rFonts w:eastAsia="SimSun" w:asciiTheme="majorHAnsi" w:hAnsiTheme="majorHAnsi" w:cstheme="majorHAnsi"/>
          <w:noProof/>
        </w:rPr>
        <w:t>18.</w:t>
      </w:r>
      <w:r w:rsidR="00445467">
        <w:rPr>
          <w:rFonts w:asciiTheme="minorHAnsi" w:eastAsiaTheme="minorEastAsia" w:hAnsiTheme="minorHAnsi"/>
          <w:noProof/>
          <w:lang w:eastAsia="zh-CN"/>
        </w:rPr>
        <w:tab/>
      </w:r>
      <w:r w:rsidRPr="00C834A5" w:rsidR="00445467">
        <w:rPr>
          <w:rStyle w:val="Hyperlink"/>
          <w:rFonts w:eastAsia="SimSun"/>
          <w:noProof/>
        </w:rPr>
        <w:t>Evidence of Title to Shares – The Register</w:t>
      </w:r>
      <w:r w:rsidR="00445467">
        <w:rPr>
          <w:noProof/>
          <w:webHidden/>
        </w:rPr>
        <w:tab/>
      </w:r>
      <w:r w:rsidR="00445467">
        <w:rPr>
          <w:noProof/>
          <w:webHidden/>
        </w:rPr>
        <w:fldChar w:fldCharType="begin"/>
      </w:r>
      <w:r w:rsidR="00445467">
        <w:rPr>
          <w:noProof/>
          <w:webHidden/>
        </w:rPr>
        <w:instrText xml:space="preserve"> PAGEREF _Toc119942042 \h </w:instrText>
      </w:r>
      <w:r w:rsidR="00445467">
        <w:rPr>
          <w:noProof/>
          <w:webHidden/>
        </w:rPr>
        <w:fldChar w:fldCharType="separate"/>
      </w:r>
      <w:r w:rsidR="00445467">
        <w:rPr>
          <w:noProof/>
          <w:webHidden/>
        </w:rPr>
        <w:t>12</w:t>
      </w:r>
      <w:r w:rsidR="00445467">
        <w:rPr>
          <w:noProof/>
          <w:webHidden/>
        </w:rPr>
        <w:fldChar w:fldCharType="end"/>
      </w:r>
      <w:r>
        <w:fldChar w:fldCharType="end"/>
      </w:r>
    </w:p>
    <w:p w:rsidR="0011178A" w14:paraId="0AF5179A" w14:textId="575AD997">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"_Toc119942043" </w:instrText>
      </w:r>
      <w:r>
        <w:fldChar w:fldCharType="separate"/>
      </w:r>
      <w:r w:rsidRPr="00C834A5" w:rsidR="00445467">
        <w:rPr>
          <w:rStyle w:val="Hyperlink"/>
          <w:rFonts w:eastAsia="SimSun" w:asciiTheme="majorHAnsi" w:hAnsiTheme="majorHAnsi" w:cstheme="majorHAnsi"/>
          <w:noProof/>
        </w:rPr>
        <w:t>19.</w:t>
      </w:r>
      <w:r w:rsidR="00445467">
        <w:rPr>
          <w:rFonts w:asciiTheme="minorHAnsi" w:eastAsiaTheme="minorEastAsia" w:hAnsiTheme="minorHAnsi"/>
          <w:noProof/>
          <w:lang w:eastAsia="zh-CN"/>
        </w:rPr>
        <w:tab/>
      </w:r>
      <w:r w:rsidRPr="00C834A5" w:rsidR="00445467">
        <w:rPr>
          <w:rStyle w:val="Hyperlink"/>
          <w:rFonts w:eastAsia="SimSun"/>
          <w:noProof/>
        </w:rPr>
        <w:t>Denominations of Shares</w:t>
      </w:r>
      <w:r w:rsidR="00445467">
        <w:rPr>
          <w:noProof/>
          <w:webHidden/>
        </w:rPr>
        <w:tab/>
      </w:r>
      <w:r w:rsidR="00445467">
        <w:rPr>
          <w:noProof/>
          <w:webHidden/>
        </w:rPr>
        <w:fldChar w:fldCharType="begin"/>
      </w:r>
      <w:r w:rsidR="00445467">
        <w:rPr>
          <w:noProof/>
          <w:webHidden/>
        </w:rPr>
        <w:instrText xml:space="preserve"> PAGEREF _Toc119942043 \h </w:instrText>
      </w:r>
      <w:r w:rsidR="00445467">
        <w:rPr>
          <w:noProof/>
          <w:webHidden/>
        </w:rPr>
        <w:fldChar w:fldCharType="separate"/>
      </w:r>
      <w:r w:rsidR="00445467">
        <w:rPr>
          <w:noProof/>
          <w:webHidden/>
        </w:rPr>
        <w:t>12</w:t>
      </w:r>
      <w:r w:rsidR="00445467">
        <w:rPr>
          <w:noProof/>
          <w:webHidden/>
        </w:rPr>
        <w:fldChar w:fldCharType="end"/>
      </w:r>
      <w:r>
        <w:fldChar w:fldCharType="end"/>
      </w:r>
    </w:p>
    <w:p w:rsidR="0011178A" w14:paraId="7797366D" w14:textId="06800500">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"_Toc119942044" </w:instrText>
      </w:r>
      <w:r>
        <w:fldChar w:fldCharType="separate"/>
      </w:r>
      <w:r w:rsidRPr="00C834A5" w:rsidR="00445467">
        <w:rPr>
          <w:rStyle w:val="Hyperlink"/>
          <w:rFonts w:eastAsia="SimSun" w:asciiTheme="majorHAnsi" w:hAnsiTheme="majorHAnsi" w:cstheme="majorHAnsi"/>
          <w:noProof/>
        </w:rPr>
        <w:t>20.</w:t>
      </w:r>
      <w:r w:rsidR="00445467">
        <w:rPr>
          <w:rFonts w:asciiTheme="minorHAnsi" w:eastAsiaTheme="minorEastAsia" w:hAnsiTheme="minorHAnsi"/>
          <w:noProof/>
          <w:lang w:eastAsia="zh-CN"/>
        </w:rPr>
        <w:tab/>
      </w:r>
      <w:r w:rsidRPr="00C834A5" w:rsidR="00445467">
        <w:rPr>
          <w:rStyle w:val="Hyperlink"/>
          <w:rFonts w:eastAsia="SimSun"/>
          <w:noProof/>
        </w:rPr>
        <w:t>Transfer and Transmission of Shares</w:t>
      </w:r>
      <w:r w:rsidR="00445467">
        <w:rPr>
          <w:noProof/>
          <w:webHidden/>
        </w:rPr>
        <w:tab/>
      </w:r>
      <w:r w:rsidR="00445467">
        <w:rPr>
          <w:noProof/>
          <w:webHidden/>
        </w:rPr>
        <w:fldChar w:fldCharType="begin"/>
      </w:r>
      <w:r w:rsidR="00445467">
        <w:rPr>
          <w:noProof/>
          <w:webHidden/>
        </w:rPr>
        <w:instrText xml:space="preserve"> PAGEREF _Toc119942044 \h </w:instrText>
      </w:r>
      <w:r w:rsidR="00445467">
        <w:rPr>
          <w:noProof/>
          <w:webHidden/>
        </w:rPr>
        <w:fldChar w:fldCharType="separate"/>
      </w:r>
      <w:r w:rsidR="00445467">
        <w:rPr>
          <w:noProof/>
          <w:webHidden/>
        </w:rPr>
        <w:t>12</w:t>
      </w:r>
      <w:r w:rsidR="00445467">
        <w:rPr>
          <w:noProof/>
          <w:webHidden/>
        </w:rPr>
        <w:fldChar w:fldCharType="end"/>
      </w:r>
      <w:r>
        <w:fldChar w:fldCharType="end"/>
      </w:r>
    </w:p>
    <w:p w:rsidR="0011178A" w14:paraId="7F0FD85F" w14:textId="7054FE6A">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"_Toc119942045" </w:instrText>
      </w:r>
      <w:r>
        <w:fldChar w:fldCharType="separate"/>
      </w:r>
      <w:r w:rsidRPr="00C834A5" w:rsidR="00445467">
        <w:rPr>
          <w:rStyle w:val="Hyperlink"/>
          <w:rFonts w:eastAsia="SimSun" w:asciiTheme="majorHAnsi" w:hAnsiTheme="majorHAnsi" w:cstheme="majorHAnsi"/>
          <w:noProof/>
        </w:rPr>
        <w:t>21.</w:t>
      </w:r>
      <w:r w:rsidR="00445467">
        <w:rPr>
          <w:rFonts w:asciiTheme="minorHAnsi" w:eastAsiaTheme="minorEastAsia" w:hAnsiTheme="minorHAnsi"/>
          <w:noProof/>
          <w:lang w:eastAsia="zh-CN"/>
        </w:rPr>
        <w:tab/>
      </w:r>
      <w:r w:rsidRPr="00C834A5" w:rsidR="00445467">
        <w:rPr>
          <w:rStyle w:val="Hyperlink"/>
          <w:rFonts w:eastAsia="SimSun"/>
          <w:noProof/>
        </w:rPr>
        <w:t>General Meetings</w:t>
      </w:r>
      <w:r w:rsidR="00445467">
        <w:rPr>
          <w:noProof/>
          <w:webHidden/>
        </w:rPr>
        <w:tab/>
      </w:r>
      <w:r w:rsidR="00445467">
        <w:rPr>
          <w:noProof/>
          <w:webHidden/>
        </w:rPr>
        <w:fldChar w:fldCharType="begin"/>
      </w:r>
      <w:r w:rsidR="00445467">
        <w:rPr>
          <w:noProof/>
          <w:webHidden/>
        </w:rPr>
        <w:instrText xml:space="preserve"> PAGEREF _Toc119942045 \h </w:instrText>
      </w:r>
      <w:r w:rsidR="00445467">
        <w:rPr>
          <w:noProof/>
          <w:webHidden/>
        </w:rPr>
        <w:fldChar w:fldCharType="separate"/>
      </w:r>
      <w:r w:rsidR="00445467">
        <w:rPr>
          <w:noProof/>
          <w:webHidden/>
        </w:rPr>
        <w:t>13</w:t>
      </w:r>
      <w:r w:rsidR="00445467">
        <w:rPr>
          <w:noProof/>
          <w:webHidden/>
        </w:rPr>
        <w:fldChar w:fldCharType="end"/>
      </w:r>
      <w:r>
        <w:fldChar w:fldCharType="end"/>
      </w:r>
    </w:p>
    <w:p w:rsidR="0011178A" w14:paraId="1DECC08E" w14:textId="5C68190E">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"_Toc119942046" </w:instrText>
      </w:r>
      <w:r>
        <w:fldChar w:fldCharType="separate"/>
      </w:r>
      <w:r w:rsidRPr="00C834A5" w:rsidR="00445467">
        <w:rPr>
          <w:rStyle w:val="Hyperlink"/>
          <w:rFonts w:eastAsia="SimSun" w:asciiTheme="majorHAnsi" w:hAnsiTheme="majorHAnsi" w:cstheme="majorHAnsi"/>
          <w:noProof/>
        </w:rPr>
        <w:t>22.</w:t>
      </w:r>
      <w:r w:rsidR="00445467">
        <w:rPr>
          <w:rFonts w:asciiTheme="minorHAnsi" w:eastAsiaTheme="minorEastAsia" w:hAnsiTheme="minorHAnsi"/>
          <w:noProof/>
          <w:lang w:eastAsia="zh-CN"/>
        </w:rPr>
        <w:tab/>
      </w:r>
      <w:r w:rsidRPr="00C834A5" w:rsidR="00445467">
        <w:rPr>
          <w:rStyle w:val="Hyperlink"/>
          <w:rFonts w:eastAsia="SimSun"/>
          <w:noProof/>
        </w:rPr>
        <w:t>Proceedings at General Meetings</w:t>
      </w:r>
      <w:r w:rsidR="00445467">
        <w:rPr>
          <w:noProof/>
          <w:webHidden/>
        </w:rPr>
        <w:tab/>
      </w:r>
      <w:r w:rsidR="00445467">
        <w:rPr>
          <w:noProof/>
          <w:webHidden/>
        </w:rPr>
        <w:fldChar w:fldCharType="begin"/>
      </w:r>
      <w:r w:rsidR="00445467">
        <w:rPr>
          <w:noProof/>
          <w:webHidden/>
        </w:rPr>
        <w:instrText xml:space="preserve"> PAGEREF _Toc119942046 \h </w:instrText>
      </w:r>
      <w:r w:rsidR="00445467">
        <w:rPr>
          <w:noProof/>
          <w:webHidden/>
        </w:rPr>
        <w:fldChar w:fldCharType="separate"/>
      </w:r>
      <w:r w:rsidR="00445467">
        <w:rPr>
          <w:noProof/>
          <w:webHidden/>
        </w:rPr>
        <w:t>13</w:t>
      </w:r>
      <w:r w:rsidR="00445467">
        <w:rPr>
          <w:noProof/>
          <w:webHidden/>
        </w:rPr>
        <w:fldChar w:fldCharType="end"/>
      </w:r>
      <w:r>
        <w:fldChar w:fldCharType="end"/>
      </w:r>
    </w:p>
    <w:p w:rsidR="0011178A" w14:paraId="1EA3CDCC" w14:textId="0A8993DC">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"_Toc119942047" </w:instrText>
      </w:r>
      <w:r>
        <w:fldChar w:fldCharType="separate"/>
      </w:r>
      <w:r w:rsidRPr="00C834A5" w:rsidR="00445467">
        <w:rPr>
          <w:rStyle w:val="Hyperlink"/>
          <w:rFonts w:eastAsia="SimSun" w:asciiTheme="majorHAnsi" w:hAnsiTheme="majorHAnsi" w:cstheme="majorHAnsi"/>
          <w:noProof/>
        </w:rPr>
        <w:t>23.</w:t>
      </w:r>
      <w:r w:rsidR="00445467">
        <w:rPr>
          <w:rFonts w:asciiTheme="minorHAnsi" w:eastAsiaTheme="minorEastAsia" w:hAnsiTheme="minorHAnsi"/>
          <w:noProof/>
          <w:lang w:eastAsia="zh-CN"/>
        </w:rPr>
        <w:tab/>
      </w:r>
      <w:r w:rsidRPr="00C834A5" w:rsidR="00445467">
        <w:rPr>
          <w:rStyle w:val="Hyperlink"/>
          <w:rFonts w:eastAsia="SimSun"/>
          <w:noProof/>
        </w:rPr>
        <w:t>Voting Rights</w:t>
      </w:r>
      <w:r w:rsidR="00445467">
        <w:rPr>
          <w:noProof/>
          <w:webHidden/>
        </w:rPr>
        <w:tab/>
      </w:r>
      <w:r w:rsidR="00445467">
        <w:rPr>
          <w:noProof/>
          <w:webHidden/>
        </w:rPr>
        <w:fldChar w:fldCharType="begin"/>
      </w:r>
      <w:r w:rsidR="00445467">
        <w:rPr>
          <w:noProof/>
          <w:webHidden/>
        </w:rPr>
        <w:instrText xml:space="preserve"> PAGEREF _Toc119942047 \h </w:instrText>
      </w:r>
      <w:r w:rsidR="00445467">
        <w:rPr>
          <w:noProof/>
          <w:webHidden/>
        </w:rPr>
        <w:fldChar w:fldCharType="separate"/>
      </w:r>
      <w:r w:rsidR="00445467">
        <w:rPr>
          <w:noProof/>
          <w:webHidden/>
        </w:rPr>
        <w:t>15</w:t>
      </w:r>
      <w:r w:rsidR="00445467">
        <w:rPr>
          <w:noProof/>
          <w:webHidden/>
        </w:rPr>
        <w:fldChar w:fldCharType="end"/>
      </w:r>
      <w:r>
        <w:fldChar w:fldCharType="end"/>
      </w:r>
    </w:p>
    <w:p w:rsidR="0011178A" w14:paraId="0D1AC628" w14:textId="549A6574">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"_Toc119942048" </w:instrText>
      </w:r>
      <w:r>
        <w:fldChar w:fldCharType="separate"/>
      </w:r>
      <w:r w:rsidRPr="00C834A5" w:rsidR="00445467">
        <w:rPr>
          <w:rStyle w:val="Hyperlink"/>
          <w:rFonts w:eastAsia="SimSun" w:asciiTheme="majorHAnsi" w:hAnsiTheme="majorHAnsi" w:cstheme="majorHAnsi"/>
          <w:noProof/>
        </w:rPr>
        <w:t>24.</w:t>
      </w:r>
      <w:r w:rsidR="00445467">
        <w:rPr>
          <w:rFonts w:asciiTheme="minorHAnsi" w:eastAsiaTheme="minorEastAsia" w:hAnsiTheme="minorHAnsi"/>
          <w:noProof/>
          <w:lang w:eastAsia="zh-CN"/>
        </w:rPr>
        <w:tab/>
      </w:r>
      <w:r w:rsidRPr="00C834A5" w:rsidR="00445467">
        <w:rPr>
          <w:rStyle w:val="Hyperlink"/>
          <w:rFonts w:eastAsia="SimSun"/>
          <w:noProof/>
        </w:rPr>
        <w:t>Proxies</w:t>
      </w:r>
      <w:r w:rsidR="00445467">
        <w:rPr>
          <w:noProof/>
          <w:webHidden/>
        </w:rPr>
        <w:tab/>
      </w:r>
      <w:r w:rsidR="00445467">
        <w:rPr>
          <w:noProof/>
          <w:webHidden/>
        </w:rPr>
        <w:fldChar w:fldCharType="begin"/>
      </w:r>
      <w:r w:rsidR="00445467">
        <w:rPr>
          <w:noProof/>
          <w:webHidden/>
        </w:rPr>
        <w:instrText xml:space="preserve"> PAGEREF _Toc119942048 \h </w:instrText>
      </w:r>
      <w:r w:rsidR="00445467">
        <w:rPr>
          <w:noProof/>
          <w:webHidden/>
        </w:rPr>
        <w:fldChar w:fldCharType="separate"/>
      </w:r>
      <w:r w:rsidR="00445467">
        <w:rPr>
          <w:noProof/>
          <w:webHidden/>
        </w:rPr>
        <w:t>16</w:t>
      </w:r>
      <w:r w:rsidR="00445467">
        <w:rPr>
          <w:noProof/>
          <w:webHidden/>
        </w:rPr>
        <w:fldChar w:fldCharType="end"/>
      </w:r>
      <w:r>
        <w:fldChar w:fldCharType="end"/>
      </w:r>
    </w:p>
    <w:p w:rsidR="0011178A" w14:paraId="5730A51A" w14:textId="6938E296">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"_Toc119942049" </w:instrText>
      </w:r>
      <w:r>
        <w:fldChar w:fldCharType="separate"/>
      </w:r>
      <w:r w:rsidRPr="00C834A5" w:rsidR="00445467">
        <w:rPr>
          <w:rStyle w:val="Hyperlink"/>
          <w:rFonts w:eastAsia="SimSun" w:asciiTheme="majorHAnsi" w:hAnsiTheme="majorHAnsi" w:cstheme="majorHAnsi"/>
          <w:noProof/>
        </w:rPr>
        <w:t>25.</w:t>
      </w:r>
      <w:r w:rsidR="00445467">
        <w:rPr>
          <w:rFonts w:asciiTheme="minorHAnsi" w:eastAsiaTheme="minorEastAsia" w:hAnsiTheme="minorHAnsi"/>
          <w:noProof/>
          <w:lang w:eastAsia="zh-CN"/>
        </w:rPr>
        <w:tab/>
      </w:r>
      <w:r w:rsidRPr="00C834A5" w:rsidR="00445467">
        <w:rPr>
          <w:rStyle w:val="Hyperlink"/>
          <w:rFonts w:eastAsia="SimSun"/>
          <w:noProof/>
        </w:rPr>
        <w:t>Corporations Acting by Representatives</w:t>
      </w:r>
      <w:r w:rsidR="00445467">
        <w:rPr>
          <w:noProof/>
          <w:webHidden/>
        </w:rPr>
        <w:tab/>
      </w:r>
      <w:r w:rsidR="00445467">
        <w:rPr>
          <w:noProof/>
          <w:webHidden/>
        </w:rPr>
        <w:fldChar w:fldCharType="begin"/>
      </w:r>
      <w:r w:rsidR="00445467">
        <w:rPr>
          <w:noProof/>
          <w:webHidden/>
        </w:rPr>
        <w:instrText xml:space="preserve"> PAGEREF _Toc119942049 \h </w:instrText>
      </w:r>
      <w:r w:rsidR="00445467">
        <w:rPr>
          <w:noProof/>
          <w:webHidden/>
        </w:rPr>
        <w:fldChar w:fldCharType="separate"/>
      </w:r>
      <w:r w:rsidR="00445467">
        <w:rPr>
          <w:noProof/>
          <w:webHidden/>
        </w:rPr>
        <w:t>16</w:t>
      </w:r>
      <w:r w:rsidR="00445467">
        <w:rPr>
          <w:noProof/>
          <w:webHidden/>
        </w:rPr>
        <w:fldChar w:fldCharType="end"/>
      </w:r>
      <w:r>
        <w:fldChar w:fldCharType="end"/>
      </w:r>
    </w:p>
    <w:p w:rsidR="0011178A" w14:paraId="003AB59C" w14:textId="4BA9AA98">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"_Toc119942050" </w:instrText>
      </w:r>
      <w:r>
        <w:fldChar w:fldCharType="separate"/>
      </w:r>
      <w:r w:rsidRPr="00C834A5" w:rsidR="00445467">
        <w:rPr>
          <w:rStyle w:val="Hyperlink"/>
          <w:rFonts w:eastAsia="SimSun" w:asciiTheme="majorHAnsi" w:hAnsiTheme="majorHAnsi" w:cstheme="majorHAnsi"/>
          <w:noProof/>
        </w:rPr>
        <w:t>26.</w:t>
      </w:r>
      <w:r w:rsidR="00445467">
        <w:rPr>
          <w:rFonts w:asciiTheme="minorHAnsi" w:eastAsiaTheme="minorEastAsia" w:hAnsiTheme="minorHAnsi"/>
          <w:noProof/>
          <w:lang w:eastAsia="zh-CN"/>
        </w:rPr>
        <w:tab/>
      </w:r>
      <w:r w:rsidRPr="00C834A5" w:rsidR="00445467">
        <w:rPr>
          <w:rStyle w:val="Hyperlink"/>
          <w:rFonts w:eastAsia="SimSun"/>
          <w:noProof/>
        </w:rPr>
        <w:t>The ACD</w:t>
      </w:r>
      <w:r w:rsidR="00445467">
        <w:rPr>
          <w:noProof/>
          <w:webHidden/>
        </w:rPr>
        <w:tab/>
      </w:r>
      <w:r w:rsidR="00445467">
        <w:rPr>
          <w:noProof/>
          <w:webHidden/>
        </w:rPr>
        <w:fldChar w:fldCharType="begin"/>
      </w:r>
      <w:r w:rsidR="00445467">
        <w:rPr>
          <w:noProof/>
          <w:webHidden/>
        </w:rPr>
        <w:instrText xml:space="preserve"> PAGEREF _Toc119942050 \h </w:instrText>
      </w:r>
      <w:r w:rsidR="00445467">
        <w:rPr>
          <w:noProof/>
          <w:webHidden/>
        </w:rPr>
        <w:fldChar w:fldCharType="separate"/>
      </w:r>
      <w:r w:rsidR="00445467">
        <w:rPr>
          <w:noProof/>
          <w:webHidden/>
        </w:rPr>
        <w:t>17</w:t>
      </w:r>
      <w:r w:rsidR="00445467">
        <w:rPr>
          <w:noProof/>
          <w:webHidden/>
        </w:rPr>
        <w:fldChar w:fldCharType="end"/>
      </w:r>
      <w:r>
        <w:fldChar w:fldCharType="end"/>
      </w:r>
    </w:p>
    <w:p w:rsidR="0011178A" w14:paraId="6755C902" w14:textId="7813F9B3">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"_Toc119942051" </w:instrText>
      </w:r>
      <w:r>
        <w:fldChar w:fldCharType="separate"/>
      </w:r>
      <w:r w:rsidRPr="00C834A5" w:rsidR="00445467">
        <w:rPr>
          <w:rStyle w:val="Hyperlink"/>
          <w:rFonts w:eastAsia="SimSun" w:asciiTheme="majorHAnsi" w:hAnsiTheme="majorHAnsi" w:cstheme="majorHAnsi"/>
          <w:noProof/>
        </w:rPr>
        <w:t>27.</w:t>
      </w:r>
      <w:r w:rsidR="00445467">
        <w:rPr>
          <w:rFonts w:asciiTheme="minorHAnsi" w:eastAsiaTheme="minorEastAsia" w:hAnsiTheme="minorHAnsi"/>
          <w:noProof/>
          <w:lang w:eastAsia="zh-CN"/>
        </w:rPr>
        <w:tab/>
      </w:r>
      <w:r w:rsidRPr="00C834A5" w:rsidR="00445467">
        <w:rPr>
          <w:rStyle w:val="Hyperlink"/>
          <w:rFonts w:eastAsia="SimSun"/>
          <w:noProof/>
        </w:rPr>
        <w:t>Remuneration and Reimbursement of Expenses of the ACD</w:t>
      </w:r>
      <w:r w:rsidR="00445467">
        <w:rPr>
          <w:noProof/>
          <w:webHidden/>
        </w:rPr>
        <w:tab/>
      </w:r>
      <w:r w:rsidR="00445467">
        <w:rPr>
          <w:noProof/>
          <w:webHidden/>
        </w:rPr>
        <w:fldChar w:fldCharType="begin"/>
      </w:r>
      <w:r w:rsidR="00445467">
        <w:rPr>
          <w:noProof/>
          <w:webHidden/>
        </w:rPr>
        <w:instrText xml:space="preserve"> PAGEREF _Toc119942051 \h </w:instrText>
      </w:r>
      <w:r w:rsidR="00445467">
        <w:rPr>
          <w:noProof/>
          <w:webHidden/>
        </w:rPr>
        <w:fldChar w:fldCharType="separate"/>
      </w:r>
      <w:r w:rsidR="00445467">
        <w:rPr>
          <w:noProof/>
          <w:webHidden/>
        </w:rPr>
        <w:t>18</w:t>
      </w:r>
      <w:r w:rsidR="00445467">
        <w:rPr>
          <w:noProof/>
          <w:webHidden/>
        </w:rPr>
        <w:fldChar w:fldCharType="end"/>
      </w:r>
      <w:r>
        <w:fldChar w:fldCharType="end"/>
      </w:r>
    </w:p>
    <w:p w:rsidR="0011178A" w14:paraId="610D396D" w14:textId="71243619">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"_Toc119942052" </w:instrText>
      </w:r>
      <w:r>
        <w:fldChar w:fldCharType="separate"/>
      </w:r>
      <w:r w:rsidRPr="00C834A5" w:rsidR="00445467">
        <w:rPr>
          <w:rStyle w:val="Hyperlink"/>
          <w:rFonts w:eastAsia="SimSun" w:asciiTheme="majorHAnsi" w:hAnsiTheme="majorHAnsi" w:cstheme="majorHAnsi"/>
          <w:noProof/>
        </w:rPr>
        <w:t>28.</w:t>
      </w:r>
      <w:r w:rsidR="00445467">
        <w:rPr>
          <w:rFonts w:asciiTheme="minorHAnsi" w:eastAsiaTheme="minorEastAsia" w:hAnsiTheme="minorHAnsi"/>
          <w:noProof/>
          <w:lang w:eastAsia="zh-CN"/>
        </w:rPr>
        <w:tab/>
      </w:r>
      <w:r w:rsidRPr="00C834A5" w:rsidR="00445467">
        <w:rPr>
          <w:rStyle w:val="Hyperlink"/>
          <w:rFonts w:eastAsia="SimSun"/>
          <w:noProof/>
        </w:rPr>
        <w:t>Interests of the ACD</w:t>
      </w:r>
      <w:r w:rsidR="00445467">
        <w:rPr>
          <w:noProof/>
          <w:webHidden/>
        </w:rPr>
        <w:tab/>
      </w:r>
      <w:r w:rsidR="00445467">
        <w:rPr>
          <w:noProof/>
          <w:webHidden/>
        </w:rPr>
        <w:fldChar w:fldCharType="begin"/>
      </w:r>
      <w:r w:rsidR="00445467">
        <w:rPr>
          <w:noProof/>
          <w:webHidden/>
        </w:rPr>
        <w:instrText xml:space="preserve"> PAGEREF _Toc119942052 \h </w:instrText>
      </w:r>
      <w:r w:rsidR="00445467">
        <w:rPr>
          <w:noProof/>
          <w:webHidden/>
        </w:rPr>
        <w:fldChar w:fldCharType="separate"/>
      </w:r>
      <w:r w:rsidR="00445467">
        <w:rPr>
          <w:noProof/>
          <w:webHidden/>
        </w:rPr>
        <w:t>18</w:t>
      </w:r>
      <w:r w:rsidR="00445467">
        <w:rPr>
          <w:noProof/>
          <w:webHidden/>
        </w:rPr>
        <w:fldChar w:fldCharType="end"/>
      </w:r>
      <w:r>
        <w:fldChar w:fldCharType="end"/>
      </w:r>
    </w:p>
    <w:p w:rsidR="0011178A" w14:paraId="536101CF" w14:textId="16E249AA">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"_Toc119942053" </w:instrText>
      </w:r>
      <w:r>
        <w:fldChar w:fldCharType="separate"/>
      </w:r>
      <w:r w:rsidRPr="00C834A5" w:rsidR="00445467">
        <w:rPr>
          <w:rStyle w:val="Hyperlink"/>
          <w:rFonts w:eastAsia="SimSun" w:asciiTheme="majorHAnsi" w:hAnsiTheme="majorHAnsi" w:cstheme="majorHAnsi"/>
          <w:noProof/>
        </w:rPr>
        <w:t>29.</w:t>
      </w:r>
      <w:r w:rsidR="00445467">
        <w:rPr>
          <w:rFonts w:asciiTheme="minorHAnsi" w:eastAsiaTheme="minorEastAsia" w:hAnsiTheme="minorHAnsi"/>
          <w:noProof/>
          <w:lang w:eastAsia="zh-CN"/>
        </w:rPr>
        <w:tab/>
      </w:r>
      <w:r w:rsidRPr="00C834A5" w:rsidR="00445467">
        <w:rPr>
          <w:rStyle w:val="Hyperlink"/>
          <w:rFonts w:eastAsia="SimSun"/>
          <w:noProof/>
        </w:rPr>
        <w:t>Minutes of ACD’s Meetings</w:t>
      </w:r>
      <w:r w:rsidR="00445467">
        <w:rPr>
          <w:noProof/>
          <w:webHidden/>
        </w:rPr>
        <w:tab/>
      </w:r>
      <w:r w:rsidR="00445467">
        <w:rPr>
          <w:noProof/>
          <w:webHidden/>
        </w:rPr>
        <w:fldChar w:fldCharType="begin"/>
      </w:r>
      <w:r w:rsidR="00445467">
        <w:rPr>
          <w:noProof/>
          <w:webHidden/>
        </w:rPr>
        <w:instrText xml:space="preserve"> PAGEREF _Toc119942053 \h </w:instrText>
      </w:r>
      <w:r w:rsidR="00445467">
        <w:rPr>
          <w:noProof/>
          <w:webHidden/>
        </w:rPr>
        <w:fldChar w:fldCharType="separate"/>
      </w:r>
      <w:r w:rsidR="00445467">
        <w:rPr>
          <w:noProof/>
          <w:webHidden/>
        </w:rPr>
        <w:t>18</w:t>
      </w:r>
      <w:r w:rsidR="00445467">
        <w:rPr>
          <w:noProof/>
          <w:webHidden/>
        </w:rPr>
        <w:fldChar w:fldCharType="end"/>
      </w:r>
      <w:r>
        <w:fldChar w:fldCharType="end"/>
      </w:r>
    </w:p>
    <w:p w:rsidR="0011178A" w14:paraId="4B8F3BAA" w14:textId="4C960C58">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"_Toc119942054" </w:instrText>
      </w:r>
      <w:r>
        <w:fldChar w:fldCharType="separate"/>
      </w:r>
      <w:r w:rsidRPr="00C834A5" w:rsidR="00445467">
        <w:rPr>
          <w:rStyle w:val="Hyperlink"/>
          <w:rFonts w:eastAsia="SimSun" w:asciiTheme="majorHAnsi" w:hAnsiTheme="majorHAnsi" w:cstheme="majorHAnsi"/>
          <w:noProof/>
        </w:rPr>
        <w:t>30.</w:t>
      </w:r>
      <w:r w:rsidR="00445467">
        <w:rPr>
          <w:rFonts w:asciiTheme="minorHAnsi" w:eastAsiaTheme="minorEastAsia" w:hAnsiTheme="minorHAnsi"/>
          <w:noProof/>
          <w:lang w:eastAsia="zh-CN"/>
        </w:rPr>
        <w:tab/>
      </w:r>
      <w:r w:rsidRPr="00C834A5" w:rsidR="00445467">
        <w:rPr>
          <w:rStyle w:val="Hyperlink"/>
          <w:rFonts w:eastAsia="SimSun"/>
          <w:noProof/>
        </w:rPr>
        <w:t>Removal of ACD</w:t>
      </w:r>
      <w:r w:rsidR="00445467">
        <w:rPr>
          <w:noProof/>
          <w:webHidden/>
        </w:rPr>
        <w:tab/>
      </w:r>
      <w:r w:rsidR="00445467">
        <w:rPr>
          <w:noProof/>
          <w:webHidden/>
        </w:rPr>
        <w:fldChar w:fldCharType="begin"/>
      </w:r>
      <w:r w:rsidR="00445467">
        <w:rPr>
          <w:noProof/>
          <w:webHidden/>
        </w:rPr>
        <w:instrText xml:space="preserve"> PAGEREF _Toc119942054 \h </w:instrText>
      </w:r>
      <w:r w:rsidR="00445467">
        <w:rPr>
          <w:noProof/>
          <w:webHidden/>
        </w:rPr>
        <w:fldChar w:fldCharType="separate"/>
      </w:r>
      <w:r w:rsidR="00445467">
        <w:rPr>
          <w:noProof/>
          <w:webHidden/>
        </w:rPr>
        <w:t>18</w:t>
      </w:r>
      <w:r w:rsidR="00445467">
        <w:rPr>
          <w:noProof/>
          <w:webHidden/>
        </w:rPr>
        <w:fldChar w:fldCharType="end"/>
      </w:r>
      <w:r>
        <w:fldChar w:fldCharType="end"/>
      </w:r>
    </w:p>
    <w:p w:rsidR="0011178A" w14:paraId="50F0BDF3" w14:textId="045F577B">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"_Toc119942055" </w:instrText>
      </w:r>
      <w:r>
        <w:fldChar w:fldCharType="separate"/>
      </w:r>
      <w:r w:rsidRPr="00C834A5" w:rsidR="00445467">
        <w:rPr>
          <w:rStyle w:val="Hyperlink"/>
          <w:rFonts w:eastAsia="SimSun" w:asciiTheme="majorHAnsi" w:hAnsiTheme="majorHAnsi" w:cstheme="majorHAnsi"/>
          <w:noProof/>
        </w:rPr>
        <w:t>31.</w:t>
      </w:r>
      <w:r w:rsidR="00445467">
        <w:rPr>
          <w:rFonts w:asciiTheme="minorHAnsi" w:eastAsiaTheme="minorEastAsia" w:hAnsiTheme="minorHAnsi"/>
          <w:noProof/>
          <w:lang w:eastAsia="zh-CN"/>
        </w:rPr>
        <w:tab/>
      </w:r>
      <w:r w:rsidRPr="00C834A5" w:rsidR="00445467">
        <w:rPr>
          <w:rStyle w:val="Hyperlink"/>
          <w:rFonts w:eastAsia="SimSun"/>
          <w:noProof/>
        </w:rPr>
        <w:t>Amendments</w:t>
      </w:r>
      <w:r w:rsidR="00445467">
        <w:rPr>
          <w:noProof/>
          <w:webHidden/>
        </w:rPr>
        <w:tab/>
      </w:r>
      <w:r w:rsidR="00445467">
        <w:rPr>
          <w:noProof/>
          <w:webHidden/>
        </w:rPr>
        <w:fldChar w:fldCharType="begin"/>
      </w:r>
      <w:r w:rsidR="00445467">
        <w:rPr>
          <w:noProof/>
          <w:webHidden/>
        </w:rPr>
        <w:instrText xml:space="preserve"> PAGEREF _Toc119942055 \h </w:instrText>
      </w:r>
      <w:r w:rsidR="00445467">
        <w:rPr>
          <w:noProof/>
          <w:webHidden/>
        </w:rPr>
        <w:fldChar w:fldCharType="separate"/>
      </w:r>
      <w:r w:rsidR="00445467">
        <w:rPr>
          <w:noProof/>
          <w:webHidden/>
        </w:rPr>
        <w:t>19</w:t>
      </w:r>
      <w:r w:rsidR="00445467">
        <w:rPr>
          <w:noProof/>
          <w:webHidden/>
        </w:rPr>
        <w:fldChar w:fldCharType="end"/>
      </w:r>
      <w:r>
        <w:fldChar w:fldCharType="end"/>
      </w:r>
    </w:p>
    <w:p w:rsidR="0011178A" w14:paraId="3EB40146" w14:textId="2C06CAFF">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"_Toc119942056" </w:instrText>
      </w:r>
      <w:r>
        <w:fldChar w:fldCharType="separate"/>
      </w:r>
      <w:r w:rsidRPr="00C834A5" w:rsidR="00445467">
        <w:rPr>
          <w:rStyle w:val="Hyperlink"/>
          <w:rFonts w:eastAsia="SimSun" w:asciiTheme="majorHAnsi" w:hAnsiTheme="majorHAnsi" w:cstheme="majorHAnsi"/>
          <w:noProof/>
        </w:rPr>
        <w:t>32.</w:t>
      </w:r>
      <w:r w:rsidR="00445467">
        <w:rPr>
          <w:rFonts w:asciiTheme="minorHAnsi" w:eastAsiaTheme="minorEastAsia" w:hAnsiTheme="minorHAnsi"/>
          <w:noProof/>
          <w:lang w:eastAsia="zh-CN"/>
        </w:rPr>
        <w:tab/>
      </w:r>
      <w:r w:rsidRPr="00C834A5" w:rsidR="00445467">
        <w:rPr>
          <w:rStyle w:val="Hyperlink"/>
          <w:rFonts w:eastAsia="SimSun"/>
          <w:noProof/>
        </w:rPr>
        <w:t>[Income Equalisation]</w:t>
      </w:r>
      <w:r w:rsidR="00445467">
        <w:rPr>
          <w:noProof/>
          <w:webHidden/>
        </w:rPr>
        <w:tab/>
      </w:r>
      <w:r w:rsidR="00445467">
        <w:rPr>
          <w:noProof/>
          <w:webHidden/>
        </w:rPr>
        <w:fldChar w:fldCharType="begin"/>
      </w:r>
      <w:r w:rsidR="00445467">
        <w:rPr>
          <w:noProof/>
          <w:webHidden/>
        </w:rPr>
        <w:instrText xml:space="preserve"> PAGEREF _Toc119942056 \h </w:instrText>
      </w:r>
      <w:r w:rsidR="00445467">
        <w:rPr>
          <w:noProof/>
          <w:webHidden/>
        </w:rPr>
        <w:fldChar w:fldCharType="separate"/>
      </w:r>
      <w:r w:rsidR="00445467">
        <w:rPr>
          <w:noProof/>
          <w:webHidden/>
        </w:rPr>
        <w:t>19</w:t>
      </w:r>
      <w:r w:rsidR="00445467">
        <w:rPr>
          <w:noProof/>
          <w:webHidden/>
        </w:rPr>
        <w:fldChar w:fldCharType="end"/>
      </w:r>
      <w:r>
        <w:fldChar w:fldCharType="end"/>
      </w:r>
    </w:p>
    <w:p w:rsidR="0011178A" w14:paraId="1AA1A6C9" w14:textId="25060AFC">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"_Toc119942057" </w:instrText>
      </w:r>
      <w:r>
        <w:fldChar w:fldCharType="separate"/>
      </w:r>
      <w:r w:rsidRPr="00C834A5" w:rsidR="00445467">
        <w:rPr>
          <w:rStyle w:val="Hyperlink"/>
          <w:rFonts w:eastAsia="SimSun" w:asciiTheme="majorHAnsi" w:hAnsiTheme="majorHAnsi" w:cstheme="majorHAnsi"/>
          <w:noProof/>
        </w:rPr>
        <w:t>33.</w:t>
      </w:r>
      <w:r w:rsidR="00445467">
        <w:rPr>
          <w:rFonts w:asciiTheme="minorHAnsi" w:eastAsiaTheme="minorEastAsia" w:hAnsiTheme="minorHAnsi"/>
          <w:noProof/>
          <w:lang w:eastAsia="zh-CN"/>
        </w:rPr>
        <w:tab/>
      </w:r>
      <w:r w:rsidRPr="00C834A5" w:rsidR="00445467">
        <w:rPr>
          <w:rStyle w:val="Hyperlink"/>
          <w:rFonts w:eastAsia="SimSun"/>
          <w:noProof/>
        </w:rPr>
        <w:t>Rights in Scheme Property and Allocation of Income</w:t>
      </w:r>
      <w:r w:rsidR="00445467">
        <w:rPr>
          <w:noProof/>
          <w:webHidden/>
        </w:rPr>
        <w:tab/>
      </w:r>
      <w:r w:rsidR="00445467">
        <w:rPr>
          <w:noProof/>
          <w:webHidden/>
        </w:rPr>
        <w:fldChar w:fldCharType="begin"/>
      </w:r>
      <w:r w:rsidR="00445467">
        <w:rPr>
          <w:noProof/>
          <w:webHidden/>
        </w:rPr>
        <w:instrText xml:space="preserve"> PAGEREF _Toc119942057 \h </w:instrText>
      </w:r>
      <w:r w:rsidR="00445467">
        <w:rPr>
          <w:noProof/>
          <w:webHidden/>
        </w:rPr>
        <w:fldChar w:fldCharType="separate"/>
      </w:r>
      <w:r w:rsidR="00445467">
        <w:rPr>
          <w:noProof/>
          <w:webHidden/>
        </w:rPr>
        <w:t>19</w:t>
      </w:r>
      <w:r w:rsidR="00445467">
        <w:rPr>
          <w:noProof/>
          <w:webHidden/>
        </w:rPr>
        <w:fldChar w:fldCharType="end"/>
      </w:r>
      <w:r>
        <w:fldChar w:fldCharType="end"/>
      </w:r>
    </w:p>
    <w:p w:rsidR="0011178A" w14:paraId="46882404" w14:textId="4BA87DDA">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"_Toc119942058" </w:instrText>
      </w:r>
      <w:r>
        <w:fldChar w:fldCharType="separate"/>
      </w:r>
      <w:r w:rsidRPr="00C834A5" w:rsidR="00445467">
        <w:rPr>
          <w:rStyle w:val="Hyperlink"/>
          <w:rFonts w:eastAsia="SimSun" w:asciiTheme="majorHAnsi" w:hAnsiTheme="majorHAnsi" w:cstheme="majorHAnsi"/>
          <w:noProof/>
        </w:rPr>
        <w:t>34.</w:t>
      </w:r>
      <w:r w:rsidR="00445467">
        <w:rPr>
          <w:rFonts w:asciiTheme="minorHAnsi" w:eastAsiaTheme="minorEastAsia" w:hAnsiTheme="minorHAnsi"/>
          <w:noProof/>
          <w:lang w:eastAsia="zh-CN"/>
        </w:rPr>
        <w:tab/>
      </w:r>
      <w:r w:rsidRPr="00C834A5" w:rsidR="00445467">
        <w:rPr>
          <w:rStyle w:val="Hyperlink"/>
          <w:rFonts w:eastAsia="SimSun"/>
          <w:noProof/>
        </w:rPr>
        <w:t>Income and Distributions</w:t>
      </w:r>
      <w:r w:rsidR="00445467">
        <w:rPr>
          <w:noProof/>
          <w:webHidden/>
        </w:rPr>
        <w:tab/>
      </w:r>
      <w:r w:rsidR="00445467">
        <w:rPr>
          <w:noProof/>
          <w:webHidden/>
        </w:rPr>
        <w:fldChar w:fldCharType="begin"/>
      </w:r>
      <w:r w:rsidR="00445467">
        <w:rPr>
          <w:noProof/>
          <w:webHidden/>
        </w:rPr>
        <w:instrText xml:space="preserve"> PAGEREF _Toc119942058 \h </w:instrText>
      </w:r>
      <w:r w:rsidR="00445467">
        <w:rPr>
          <w:noProof/>
          <w:webHidden/>
        </w:rPr>
        <w:fldChar w:fldCharType="separate"/>
      </w:r>
      <w:r w:rsidR="00445467">
        <w:rPr>
          <w:noProof/>
          <w:webHidden/>
        </w:rPr>
        <w:t>19</w:t>
      </w:r>
      <w:r w:rsidR="00445467">
        <w:rPr>
          <w:noProof/>
          <w:webHidden/>
        </w:rPr>
        <w:fldChar w:fldCharType="end"/>
      </w:r>
      <w:r>
        <w:fldChar w:fldCharType="end"/>
      </w:r>
    </w:p>
    <w:p w:rsidR="0011178A" w14:paraId="6FDA93BA" w14:textId="2A859013">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"_Toc119942059" </w:instrText>
      </w:r>
      <w:r>
        <w:fldChar w:fldCharType="separate"/>
      </w:r>
      <w:r w:rsidRPr="00C834A5" w:rsidR="00445467">
        <w:rPr>
          <w:rStyle w:val="Hyperlink"/>
          <w:rFonts w:eastAsia="SimSun" w:asciiTheme="majorHAnsi" w:hAnsiTheme="majorHAnsi" w:cstheme="majorHAnsi"/>
          <w:noProof/>
        </w:rPr>
        <w:t>35.</w:t>
      </w:r>
      <w:r w:rsidR="00445467">
        <w:rPr>
          <w:rFonts w:asciiTheme="minorHAnsi" w:eastAsiaTheme="minorEastAsia" w:hAnsiTheme="minorHAnsi"/>
          <w:noProof/>
          <w:lang w:eastAsia="zh-CN"/>
        </w:rPr>
        <w:tab/>
      </w:r>
      <w:r w:rsidRPr="00C834A5" w:rsidR="00445467">
        <w:rPr>
          <w:rStyle w:val="Hyperlink"/>
          <w:rFonts w:eastAsia="SimSun"/>
          <w:noProof/>
        </w:rPr>
        <w:t>Cheques etc.</w:t>
      </w:r>
      <w:r w:rsidR="00445467">
        <w:rPr>
          <w:noProof/>
          <w:webHidden/>
        </w:rPr>
        <w:tab/>
      </w:r>
      <w:r w:rsidR="00445467">
        <w:rPr>
          <w:noProof/>
          <w:webHidden/>
        </w:rPr>
        <w:fldChar w:fldCharType="begin"/>
      </w:r>
      <w:r w:rsidR="00445467">
        <w:rPr>
          <w:noProof/>
          <w:webHidden/>
        </w:rPr>
        <w:instrText xml:space="preserve"> PAGEREF _Toc119942059 \h </w:instrText>
      </w:r>
      <w:r w:rsidR="00445467">
        <w:rPr>
          <w:noProof/>
          <w:webHidden/>
        </w:rPr>
        <w:fldChar w:fldCharType="separate"/>
      </w:r>
      <w:r w:rsidR="00445467">
        <w:rPr>
          <w:noProof/>
          <w:webHidden/>
        </w:rPr>
        <w:t>20</w:t>
      </w:r>
      <w:r w:rsidR="00445467">
        <w:rPr>
          <w:noProof/>
          <w:webHidden/>
        </w:rPr>
        <w:fldChar w:fldCharType="end"/>
      </w:r>
      <w:r>
        <w:fldChar w:fldCharType="end"/>
      </w:r>
    </w:p>
    <w:p w:rsidR="0011178A" w14:paraId="2F624474" w14:textId="36BC2934">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"_Toc119942060" </w:instrText>
      </w:r>
      <w:r>
        <w:fldChar w:fldCharType="separate"/>
      </w:r>
      <w:r w:rsidRPr="00C834A5" w:rsidR="00445467">
        <w:rPr>
          <w:rStyle w:val="Hyperlink"/>
          <w:rFonts w:eastAsia="SimSun" w:asciiTheme="majorHAnsi" w:hAnsiTheme="majorHAnsi" w:cstheme="majorHAnsi"/>
          <w:noProof/>
        </w:rPr>
        <w:t>36.</w:t>
      </w:r>
      <w:r w:rsidR="00445467">
        <w:rPr>
          <w:rFonts w:asciiTheme="minorHAnsi" w:eastAsiaTheme="minorEastAsia" w:hAnsiTheme="minorHAnsi"/>
          <w:noProof/>
          <w:lang w:eastAsia="zh-CN"/>
        </w:rPr>
        <w:tab/>
      </w:r>
      <w:r w:rsidRPr="00C834A5" w:rsidR="00445467">
        <w:rPr>
          <w:rStyle w:val="Hyperlink"/>
          <w:rFonts w:eastAsia="SimSun"/>
          <w:noProof/>
        </w:rPr>
        <w:t>Charges and Expenses</w:t>
      </w:r>
      <w:r w:rsidR="00445467">
        <w:rPr>
          <w:noProof/>
          <w:webHidden/>
        </w:rPr>
        <w:tab/>
      </w:r>
      <w:r w:rsidR="00445467">
        <w:rPr>
          <w:noProof/>
          <w:webHidden/>
        </w:rPr>
        <w:fldChar w:fldCharType="begin"/>
      </w:r>
      <w:r w:rsidR="00445467">
        <w:rPr>
          <w:noProof/>
          <w:webHidden/>
        </w:rPr>
        <w:instrText xml:space="preserve"> PAGEREF _Toc119942060 \h </w:instrText>
      </w:r>
      <w:r w:rsidR="00445467">
        <w:rPr>
          <w:noProof/>
          <w:webHidden/>
        </w:rPr>
        <w:fldChar w:fldCharType="separate"/>
      </w:r>
      <w:r w:rsidR="00445467">
        <w:rPr>
          <w:noProof/>
          <w:webHidden/>
        </w:rPr>
        <w:t>20</w:t>
      </w:r>
      <w:r w:rsidR="00445467">
        <w:rPr>
          <w:noProof/>
          <w:webHidden/>
        </w:rPr>
        <w:fldChar w:fldCharType="end"/>
      </w:r>
      <w:r>
        <w:fldChar w:fldCharType="end"/>
      </w:r>
    </w:p>
    <w:p w:rsidR="0011178A" w14:paraId="67E8CF9C" w14:textId="69FA9BE9">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"_Toc119942061" </w:instrText>
      </w:r>
      <w:r>
        <w:fldChar w:fldCharType="separate"/>
      </w:r>
      <w:r w:rsidRPr="00C834A5" w:rsidR="00445467">
        <w:rPr>
          <w:rStyle w:val="Hyperlink"/>
          <w:rFonts w:eastAsia="SimSun" w:asciiTheme="majorHAnsi" w:hAnsiTheme="majorHAnsi" w:cstheme="majorHAnsi"/>
          <w:noProof/>
        </w:rPr>
        <w:t>37.</w:t>
      </w:r>
      <w:r w:rsidR="00445467">
        <w:rPr>
          <w:rFonts w:asciiTheme="minorHAnsi" w:eastAsiaTheme="minorEastAsia" w:hAnsiTheme="minorHAnsi"/>
          <w:noProof/>
          <w:lang w:eastAsia="zh-CN"/>
        </w:rPr>
        <w:tab/>
      </w:r>
      <w:r w:rsidRPr="00C834A5" w:rsidR="00445467">
        <w:rPr>
          <w:rStyle w:val="Hyperlink"/>
          <w:rFonts w:eastAsia="SimSun"/>
          <w:noProof/>
        </w:rPr>
        <w:t>Destruction of Documents</w:t>
      </w:r>
      <w:r w:rsidR="00445467">
        <w:rPr>
          <w:noProof/>
          <w:webHidden/>
        </w:rPr>
        <w:tab/>
      </w:r>
      <w:r w:rsidR="00445467">
        <w:rPr>
          <w:noProof/>
          <w:webHidden/>
        </w:rPr>
        <w:fldChar w:fldCharType="begin"/>
      </w:r>
      <w:r w:rsidR="00445467">
        <w:rPr>
          <w:noProof/>
          <w:webHidden/>
        </w:rPr>
        <w:instrText xml:space="preserve"> PAGEREF _Toc119942061 \h </w:instrText>
      </w:r>
      <w:r w:rsidR="00445467">
        <w:rPr>
          <w:noProof/>
          <w:webHidden/>
        </w:rPr>
        <w:fldChar w:fldCharType="separate"/>
      </w:r>
      <w:r w:rsidR="00445467">
        <w:rPr>
          <w:noProof/>
          <w:webHidden/>
        </w:rPr>
        <w:t>20</w:t>
      </w:r>
      <w:r w:rsidR="00445467">
        <w:rPr>
          <w:noProof/>
          <w:webHidden/>
        </w:rPr>
        <w:fldChar w:fldCharType="end"/>
      </w:r>
      <w:r>
        <w:fldChar w:fldCharType="end"/>
      </w:r>
    </w:p>
    <w:p w:rsidR="0011178A" w14:paraId="697179B9" w14:textId="5B19414D">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"_Toc119942062" </w:instrText>
      </w:r>
      <w:r>
        <w:fldChar w:fldCharType="separate"/>
      </w:r>
      <w:r w:rsidRPr="00C834A5" w:rsidR="00445467">
        <w:rPr>
          <w:rStyle w:val="Hyperlink"/>
          <w:rFonts w:eastAsia="SimSun" w:asciiTheme="majorHAnsi" w:hAnsiTheme="majorHAnsi" w:cstheme="majorHAnsi"/>
          <w:noProof/>
        </w:rPr>
        <w:t>38.</w:t>
      </w:r>
      <w:r w:rsidR="00445467">
        <w:rPr>
          <w:rFonts w:asciiTheme="minorHAnsi" w:eastAsiaTheme="minorEastAsia" w:hAnsiTheme="minorHAnsi"/>
          <w:noProof/>
          <w:lang w:eastAsia="zh-CN"/>
        </w:rPr>
        <w:tab/>
      </w:r>
      <w:r w:rsidRPr="00C834A5" w:rsidR="00445467">
        <w:rPr>
          <w:rStyle w:val="Hyperlink"/>
          <w:rFonts w:eastAsia="SimSun"/>
          <w:noProof/>
        </w:rPr>
        <w:t>Notices</w:t>
      </w:r>
      <w:r w:rsidR="00445467">
        <w:rPr>
          <w:noProof/>
          <w:webHidden/>
        </w:rPr>
        <w:tab/>
      </w:r>
      <w:r w:rsidR="00445467">
        <w:rPr>
          <w:noProof/>
          <w:webHidden/>
        </w:rPr>
        <w:fldChar w:fldCharType="begin"/>
      </w:r>
      <w:r w:rsidR="00445467">
        <w:rPr>
          <w:noProof/>
          <w:webHidden/>
        </w:rPr>
        <w:instrText xml:space="preserve"> PAGEREF _Toc119942062 \h </w:instrText>
      </w:r>
      <w:r w:rsidR="00445467">
        <w:rPr>
          <w:noProof/>
          <w:webHidden/>
        </w:rPr>
        <w:fldChar w:fldCharType="separate"/>
      </w:r>
      <w:r w:rsidR="00445467">
        <w:rPr>
          <w:noProof/>
          <w:webHidden/>
        </w:rPr>
        <w:t>21</w:t>
      </w:r>
      <w:r w:rsidR="00445467">
        <w:rPr>
          <w:noProof/>
          <w:webHidden/>
        </w:rPr>
        <w:fldChar w:fldCharType="end"/>
      </w:r>
      <w:r>
        <w:fldChar w:fldCharType="end"/>
      </w:r>
    </w:p>
    <w:p w:rsidR="0011178A" w14:paraId="4157972F" w14:textId="67711695">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"_Toc119942063" </w:instrText>
      </w:r>
      <w:r>
        <w:fldChar w:fldCharType="separate"/>
      </w:r>
      <w:r w:rsidRPr="00C834A5" w:rsidR="00445467">
        <w:rPr>
          <w:rStyle w:val="Hyperlink"/>
          <w:rFonts w:eastAsia="SimSun" w:asciiTheme="majorHAnsi" w:hAnsiTheme="majorHAnsi" w:cstheme="majorHAnsi"/>
          <w:noProof/>
        </w:rPr>
        <w:t>39.</w:t>
      </w:r>
      <w:r w:rsidR="00445467">
        <w:rPr>
          <w:rFonts w:asciiTheme="minorHAnsi" w:eastAsiaTheme="minorEastAsia" w:hAnsiTheme="minorHAnsi"/>
          <w:noProof/>
          <w:lang w:eastAsia="zh-CN"/>
        </w:rPr>
        <w:tab/>
      </w:r>
      <w:r w:rsidRPr="00C834A5" w:rsidR="00445467">
        <w:rPr>
          <w:rStyle w:val="Hyperlink"/>
          <w:rFonts w:eastAsia="SimSun"/>
          <w:noProof/>
        </w:rPr>
        <w:t>Winding up</w:t>
      </w:r>
      <w:r w:rsidR="00445467">
        <w:rPr>
          <w:noProof/>
          <w:webHidden/>
        </w:rPr>
        <w:tab/>
      </w:r>
      <w:r w:rsidR="00445467">
        <w:rPr>
          <w:noProof/>
          <w:webHidden/>
        </w:rPr>
        <w:fldChar w:fldCharType="begin"/>
      </w:r>
      <w:r w:rsidR="00445467">
        <w:rPr>
          <w:noProof/>
          <w:webHidden/>
        </w:rPr>
        <w:instrText xml:space="preserve"> PAGEREF _Toc119942063 \h </w:instrText>
      </w:r>
      <w:r w:rsidR="00445467">
        <w:rPr>
          <w:noProof/>
          <w:webHidden/>
        </w:rPr>
        <w:fldChar w:fldCharType="separate"/>
      </w:r>
      <w:r w:rsidR="00445467">
        <w:rPr>
          <w:noProof/>
          <w:webHidden/>
        </w:rPr>
        <w:t>22</w:t>
      </w:r>
      <w:r w:rsidR="00445467">
        <w:rPr>
          <w:noProof/>
          <w:webHidden/>
        </w:rPr>
        <w:fldChar w:fldCharType="end"/>
      </w:r>
      <w:r>
        <w:fldChar w:fldCharType="end"/>
      </w:r>
    </w:p>
    <w:p w:rsidR="0011178A" w14:paraId="584FABE8" w14:textId="57B94B9D">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"_Toc119942064" </w:instrText>
      </w:r>
      <w:r>
        <w:fldChar w:fldCharType="separate"/>
      </w:r>
      <w:r w:rsidRPr="00C834A5" w:rsidR="00445467">
        <w:rPr>
          <w:rStyle w:val="Hyperlink"/>
          <w:rFonts w:eastAsia="SimSun" w:asciiTheme="majorHAnsi" w:hAnsiTheme="majorHAnsi" w:cstheme="majorHAnsi"/>
          <w:noProof/>
        </w:rPr>
        <w:t>40.</w:t>
      </w:r>
      <w:r w:rsidR="00445467">
        <w:rPr>
          <w:rFonts w:asciiTheme="minorHAnsi" w:eastAsiaTheme="minorEastAsia" w:hAnsiTheme="minorHAnsi"/>
          <w:noProof/>
          <w:lang w:eastAsia="zh-CN"/>
        </w:rPr>
        <w:tab/>
      </w:r>
      <w:r w:rsidRPr="00C834A5" w:rsidR="00445467">
        <w:rPr>
          <w:rStyle w:val="Hyperlink"/>
          <w:rFonts w:eastAsia="SimSun"/>
          <w:noProof/>
        </w:rPr>
        <w:t>Indemnity</w:t>
      </w:r>
      <w:r w:rsidR="00445467">
        <w:rPr>
          <w:noProof/>
          <w:webHidden/>
        </w:rPr>
        <w:tab/>
      </w:r>
      <w:r w:rsidR="00445467">
        <w:rPr>
          <w:noProof/>
          <w:webHidden/>
        </w:rPr>
        <w:fldChar w:fldCharType="begin"/>
      </w:r>
      <w:r w:rsidR="00445467">
        <w:rPr>
          <w:noProof/>
          <w:webHidden/>
        </w:rPr>
        <w:instrText xml:space="preserve"> PAGEREF _Toc119942064 \h </w:instrText>
      </w:r>
      <w:r w:rsidR="00445467">
        <w:rPr>
          <w:noProof/>
          <w:webHidden/>
        </w:rPr>
        <w:fldChar w:fldCharType="separate"/>
      </w:r>
      <w:r w:rsidR="00445467">
        <w:rPr>
          <w:noProof/>
          <w:webHidden/>
        </w:rPr>
        <w:t>22</w:t>
      </w:r>
      <w:r w:rsidR="00445467">
        <w:rPr>
          <w:noProof/>
          <w:webHidden/>
        </w:rPr>
        <w:fldChar w:fldCharType="end"/>
      </w:r>
      <w:r>
        <w:fldChar w:fldCharType="end"/>
      </w:r>
    </w:p>
    <w:p w:rsidR="0011178A" w14:paraId="0382C837" w14:textId="1F9655FC">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"_Toc119942065" </w:instrText>
      </w:r>
      <w:r>
        <w:fldChar w:fldCharType="separate"/>
      </w:r>
      <w:r w:rsidRPr="00C834A5" w:rsidR="00445467">
        <w:rPr>
          <w:rStyle w:val="Hyperlink"/>
          <w:rFonts w:eastAsia="SimSun" w:asciiTheme="majorHAnsi" w:hAnsiTheme="majorHAnsi" w:cstheme="majorHAnsi"/>
          <w:noProof/>
        </w:rPr>
        <w:t>41.</w:t>
      </w:r>
      <w:r w:rsidR="00445467">
        <w:rPr>
          <w:rFonts w:asciiTheme="minorHAnsi" w:eastAsiaTheme="minorEastAsia" w:hAnsiTheme="minorHAnsi"/>
          <w:noProof/>
          <w:lang w:eastAsia="zh-CN"/>
        </w:rPr>
        <w:tab/>
      </w:r>
      <w:r w:rsidRPr="00C834A5" w:rsidR="00445467">
        <w:rPr>
          <w:rStyle w:val="Hyperlink"/>
          <w:rFonts w:eastAsia="SimSun"/>
          <w:noProof/>
        </w:rPr>
        <w:t>Conflict with Regulations</w:t>
      </w:r>
      <w:r w:rsidR="00445467">
        <w:rPr>
          <w:noProof/>
          <w:webHidden/>
        </w:rPr>
        <w:tab/>
      </w:r>
      <w:r w:rsidR="00445467">
        <w:rPr>
          <w:noProof/>
          <w:webHidden/>
        </w:rPr>
        <w:fldChar w:fldCharType="begin"/>
      </w:r>
      <w:r w:rsidR="00445467">
        <w:rPr>
          <w:noProof/>
          <w:webHidden/>
        </w:rPr>
        <w:instrText xml:space="preserve"> PAGEREF _Toc119942065 \h </w:instrText>
      </w:r>
      <w:r w:rsidR="00445467">
        <w:rPr>
          <w:noProof/>
          <w:webHidden/>
        </w:rPr>
        <w:fldChar w:fldCharType="separate"/>
      </w:r>
      <w:r w:rsidR="00445467">
        <w:rPr>
          <w:noProof/>
          <w:webHidden/>
        </w:rPr>
        <w:t>23</w:t>
      </w:r>
      <w:r w:rsidR="00445467">
        <w:rPr>
          <w:noProof/>
          <w:webHidden/>
        </w:rPr>
        <w:fldChar w:fldCharType="end"/>
      </w:r>
      <w:r>
        <w:fldChar w:fldCharType="end"/>
      </w:r>
    </w:p>
    <w:p w:rsidR="0011178A" w14:paraId="4B478CCB" w14:textId="7DF5EFD2">
      <w:pPr>
        <w:pStyle w:val="TOC5"/>
        <w:rPr>
          <w:rFonts w:asciiTheme="minorHAnsi" w:eastAsiaTheme="minorEastAsia" w:hAnsiTheme="minorHAnsi"/>
          <w:caps w:val="0"/>
          <w:noProof/>
          <w:color w:val="auto"/>
          <w:shd w:val="clear" w:color="auto" w:fill="auto"/>
          <w:lang w:eastAsia="zh-CN"/>
        </w:rPr>
      </w:pPr>
      <w:r>
        <w:fldChar w:fldCharType="begin"/>
      </w:r>
      <w:r>
        <w:instrText xml:space="preserve"> HYPERLINK \l "_Toc119942066" </w:instrText>
      </w:r>
      <w:r>
        <w:fldChar w:fldCharType="separate"/>
      </w:r>
      <w:r w:rsidRPr="00C834A5" w:rsidR="00445467">
        <w:rPr>
          <w:rStyle w:val="Hyperlink"/>
          <w:rFonts w:eastAsia="SimSun"/>
          <w:noProof/>
          <w:lang w:eastAsia="en-GB"/>
        </w:rPr>
        <w:t>SCHEDULE</w:t>
      </w:r>
      <w:r w:rsidR="00445467">
        <w:rPr>
          <w:noProof/>
          <w:webHidden/>
        </w:rPr>
        <w:tab/>
      </w:r>
      <w:r w:rsidR="00445467">
        <w:rPr>
          <w:noProof/>
          <w:webHidden/>
        </w:rPr>
        <w:fldChar w:fldCharType="begin"/>
      </w:r>
      <w:r w:rsidR="00445467">
        <w:rPr>
          <w:noProof/>
          <w:webHidden/>
        </w:rPr>
        <w:instrText xml:space="preserve"> PAGEREF _Toc119942066 \h </w:instrText>
      </w:r>
      <w:r w:rsidR="00445467">
        <w:rPr>
          <w:noProof/>
          <w:webHidden/>
        </w:rPr>
        <w:fldChar w:fldCharType="separate"/>
      </w:r>
      <w:r w:rsidR="00445467">
        <w:rPr>
          <w:noProof/>
          <w:webHidden/>
        </w:rPr>
        <w:t>24</w:t>
      </w:r>
      <w:r w:rsidR="00445467">
        <w:rPr>
          <w:noProof/>
          <w:webHidden/>
        </w:rPr>
        <w:fldChar w:fldCharType="end"/>
      </w:r>
      <w:r>
        <w:fldChar w:fldCharType="end"/>
      </w:r>
    </w:p>
    <w:p w:rsidR="0011178A" w14:paraId="12F12509" w14:textId="7C25D4CB">
      <w:pPr>
        <w:pStyle w:val="TOC5"/>
        <w:rPr>
          <w:rFonts w:asciiTheme="minorHAnsi" w:eastAsiaTheme="minorEastAsia" w:hAnsiTheme="minorHAnsi"/>
          <w:caps w:val="0"/>
          <w:noProof/>
          <w:color w:val="auto"/>
          <w:shd w:val="clear" w:color="auto" w:fill="auto"/>
          <w:lang w:eastAsia="zh-CN"/>
        </w:rPr>
      </w:pPr>
      <w:r>
        <w:fldChar w:fldCharType="begin"/>
      </w:r>
      <w:r>
        <w:instrText xml:space="preserve"> HYPERLINK \l "_Toc119942067" </w:instrText>
      </w:r>
      <w:r>
        <w:fldChar w:fldCharType="separate"/>
      </w:r>
      <w:r w:rsidRPr="00C834A5" w:rsidR="00445467">
        <w:rPr>
          <w:rStyle w:val="Hyperlink"/>
          <w:rFonts w:eastAsia="SimSun"/>
          <w:noProof/>
        </w:rPr>
        <w:t>Part 1 : [The Funds]</w:t>
      </w:r>
      <w:r w:rsidR="00445467">
        <w:rPr>
          <w:noProof/>
          <w:webHidden/>
        </w:rPr>
        <w:tab/>
      </w:r>
      <w:r w:rsidR="00445467">
        <w:rPr>
          <w:noProof/>
          <w:webHidden/>
        </w:rPr>
        <w:fldChar w:fldCharType="begin"/>
      </w:r>
      <w:r w:rsidR="00445467">
        <w:rPr>
          <w:noProof/>
          <w:webHidden/>
        </w:rPr>
        <w:instrText xml:space="preserve"> PAGEREF _Toc119942067 \h </w:instrText>
      </w:r>
      <w:r w:rsidR="00445467">
        <w:rPr>
          <w:noProof/>
          <w:webHidden/>
        </w:rPr>
        <w:fldChar w:fldCharType="separate"/>
      </w:r>
      <w:r w:rsidR="00445467">
        <w:rPr>
          <w:noProof/>
          <w:webHidden/>
        </w:rPr>
        <w:t>24</w:t>
      </w:r>
      <w:r w:rsidR="00445467">
        <w:rPr>
          <w:noProof/>
          <w:webHidden/>
        </w:rPr>
        <w:fldChar w:fldCharType="end"/>
      </w:r>
      <w:r>
        <w:fldChar w:fldCharType="end"/>
      </w:r>
    </w:p>
    <w:p w:rsidR="0011178A" w14:paraId="48268337" w14:textId="4897B4E0">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"_Toc119942068" </w:instrText>
      </w:r>
      <w:r>
        <w:fldChar w:fldCharType="separate"/>
      </w:r>
      <w:r w:rsidRPr="00C834A5" w:rsidR="00445467">
        <w:rPr>
          <w:rStyle w:val="Hyperlink"/>
          <w:rFonts w:eastAsia="SimSun" w:asciiTheme="majorHAnsi" w:hAnsiTheme="majorHAnsi" w:cstheme="majorHAnsi"/>
          <w:noProof/>
        </w:rPr>
        <w:t>1.</w:t>
      </w:r>
      <w:r w:rsidR="00445467">
        <w:rPr>
          <w:rFonts w:asciiTheme="minorHAnsi" w:eastAsiaTheme="minorEastAsia" w:hAnsiTheme="minorHAnsi"/>
          <w:noProof/>
          <w:lang w:eastAsia="zh-CN"/>
        </w:rPr>
        <w:tab/>
      </w:r>
      <w:r w:rsidRPr="00C834A5" w:rsidR="00445467">
        <w:rPr>
          <w:rStyle w:val="Hyperlink"/>
          <w:rFonts w:eastAsia="SimSun"/>
          <w:noProof/>
        </w:rPr>
        <w:t>Set out below are the Fund(s) which are available in the Company and their respective investment objectives (and any special investment powers).</w:t>
      </w:r>
      <w:r w:rsidR="00445467">
        <w:rPr>
          <w:noProof/>
          <w:webHidden/>
        </w:rPr>
        <w:tab/>
      </w:r>
      <w:r w:rsidR="00445467">
        <w:rPr>
          <w:noProof/>
          <w:webHidden/>
        </w:rPr>
        <w:fldChar w:fldCharType="begin"/>
      </w:r>
      <w:r w:rsidR="00445467">
        <w:rPr>
          <w:noProof/>
          <w:webHidden/>
        </w:rPr>
        <w:instrText xml:space="preserve"> PAGEREF _Toc119942068 \h </w:instrText>
      </w:r>
      <w:r w:rsidR="00445467">
        <w:rPr>
          <w:noProof/>
          <w:webHidden/>
        </w:rPr>
        <w:fldChar w:fldCharType="separate"/>
      </w:r>
      <w:r w:rsidR="00445467">
        <w:rPr>
          <w:noProof/>
          <w:webHidden/>
        </w:rPr>
        <w:t>24</w:t>
      </w:r>
      <w:r w:rsidR="00445467">
        <w:rPr>
          <w:noProof/>
          <w:webHidden/>
        </w:rPr>
        <w:fldChar w:fldCharType="end"/>
      </w:r>
      <w:r>
        <w:fldChar w:fldCharType="end"/>
      </w:r>
    </w:p>
    <w:p w:rsidR="0011178A" w14:paraId="0884B09F" w14:textId="30B0DAA1">
      <w:pPr>
        <w:pStyle w:val="TOC5"/>
        <w:rPr>
          <w:rFonts w:asciiTheme="minorHAnsi" w:eastAsiaTheme="minorEastAsia" w:hAnsiTheme="minorHAnsi"/>
          <w:caps w:val="0"/>
          <w:noProof/>
          <w:color w:val="auto"/>
          <w:shd w:val="clear" w:color="auto" w:fill="auto"/>
          <w:lang w:eastAsia="zh-CN"/>
        </w:rPr>
      </w:pPr>
      <w:r>
        <w:fldChar w:fldCharType="begin"/>
      </w:r>
      <w:r>
        <w:instrText xml:space="preserve"> HYPERLINK \l "_Toc119942069" </w:instrText>
      </w:r>
      <w:r>
        <w:fldChar w:fldCharType="separate"/>
      </w:r>
      <w:r w:rsidRPr="00C834A5" w:rsidR="00445467">
        <w:rPr>
          <w:rStyle w:val="Hyperlink"/>
          <w:rFonts w:eastAsia="SimSun"/>
          <w:noProof/>
        </w:rPr>
        <w:t>Part 2 : Determination of Net Asset Value</w:t>
      </w:r>
      <w:r w:rsidR="00445467">
        <w:rPr>
          <w:noProof/>
          <w:webHidden/>
        </w:rPr>
        <w:tab/>
      </w:r>
      <w:r w:rsidR="00445467">
        <w:rPr>
          <w:noProof/>
          <w:webHidden/>
        </w:rPr>
        <w:fldChar w:fldCharType="begin"/>
      </w:r>
      <w:r w:rsidR="00445467">
        <w:rPr>
          <w:noProof/>
          <w:webHidden/>
        </w:rPr>
        <w:instrText xml:space="preserve"> PAGEREF _Toc119942069 \h </w:instrText>
      </w:r>
      <w:r w:rsidR="00445467">
        <w:rPr>
          <w:noProof/>
          <w:webHidden/>
        </w:rPr>
        <w:fldChar w:fldCharType="separate"/>
      </w:r>
      <w:r w:rsidR="00445467">
        <w:rPr>
          <w:noProof/>
          <w:webHidden/>
        </w:rPr>
        <w:t>25</w:t>
      </w:r>
      <w:r w:rsidR="00445467">
        <w:rPr>
          <w:noProof/>
          <w:webHidden/>
        </w:rPr>
        <w:fldChar w:fldCharType="end"/>
      </w:r>
      <w:r>
        <w:fldChar w:fldCharType="end"/>
      </w:r>
    </w:p>
    <w:p w:rsidR="0011178A" w14:paraId="65787CDB" w14:textId="6275ED8D">
      <w:pPr>
        <w:pStyle w:val="TOC1"/>
        <w:rPr>
          <w:rFonts w:asciiTheme="minorHAnsi" w:eastAsiaTheme="minorEastAsia" w:hAnsiTheme="minorHAnsi"/>
          <w:noProof/>
          <w:color w:val="auto"/>
          <w:shd w:val="clear" w:color="auto" w:fill="auto"/>
          <w:lang w:eastAsia="zh-CN"/>
        </w:rPr>
      </w:pPr>
      <w:r>
        <w:fldChar w:fldCharType="begin"/>
      </w:r>
      <w:r>
        <w:instrText xml:space="preserve"> HYPERLINK \l "_Toc119942070" </w:instrText>
      </w:r>
      <w:r>
        <w:fldChar w:fldCharType="separate"/>
      </w:r>
      <w:r w:rsidRPr="00C834A5" w:rsidR="00445467">
        <w:rPr>
          <w:rStyle w:val="Hyperlink"/>
          <w:rFonts w:eastAsia="SimSun" w:asciiTheme="majorHAnsi" w:hAnsiTheme="majorHAnsi" w:cstheme="majorHAnsi"/>
          <w:noProof/>
        </w:rPr>
        <w:t>1.</w:t>
      </w:r>
      <w:r w:rsidR="00445467">
        <w:rPr>
          <w:rFonts w:asciiTheme="minorHAnsi" w:eastAsiaTheme="minorEastAsia" w:hAnsiTheme="minorHAnsi"/>
          <w:noProof/>
          <w:lang w:eastAsia="zh-CN"/>
        </w:rPr>
        <w:tab/>
      </w:r>
      <w:r w:rsidRPr="00C834A5" w:rsidR="00445467">
        <w:rPr>
          <w:rStyle w:val="Hyperlink"/>
          <w:rFonts w:eastAsia="SimSun"/>
          <w:noProof/>
        </w:rPr>
        <w:t>All the Scheme Property (including receivables) is to be included in the valuation, subject to the following provisions.</w:t>
      </w:r>
      <w:r w:rsidR="00445467">
        <w:rPr>
          <w:noProof/>
          <w:webHidden/>
        </w:rPr>
        <w:tab/>
      </w:r>
      <w:r w:rsidR="00445467">
        <w:rPr>
          <w:noProof/>
          <w:webHidden/>
        </w:rPr>
        <w:fldChar w:fldCharType="begin"/>
      </w:r>
      <w:r w:rsidR="00445467">
        <w:rPr>
          <w:noProof/>
          <w:webHidden/>
        </w:rPr>
        <w:instrText xml:space="preserve"> PAGEREF _Toc119942070 \h </w:instrText>
      </w:r>
      <w:r w:rsidR="00445467">
        <w:rPr>
          <w:noProof/>
          <w:webHidden/>
        </w:rPr>
        <w:fldChar w:fldCharType="separate"/>
      </w:r>
      <w:r w:rsidR="00445467">
        <w:rPr>
          <w:noProof/>
          <w:webHidden/>
        </w:rPr>
        <w:t>25</w:t>
      </w:r>
      <w:r w:rsidR="00445467">
        <w:rPr>
          <w:noProof/>
          <w:webHidden/>
        </w:rPr>
        <w:fldChar w:fldCharType="end"/>
      </w:r>
      <w:r>
        <w:fldChar w:fldCharType="end"/>
      </w:r>
    </w:p>
    <w:p w:rsidR="0011178A" w14:paraId="5A5AC722" w14:textId="7D5B55D6">
      <w:pPr>
        <w:pStyle w:val="TOC5"/>
        <w:rPr>
          <w:rFonts w:asciiTheme="minorHAnsi" w:eastAsiaTheme="minorEastAsia" w:hAnsiTheme="minorHAnsi"/>
          <w:caps w:val="0"/>
          <w:noProof/>
          <w:color w:val="auto"/>
          <w:shd w:val="clear" w:color="auto" w:fill="auto"/>
          <w:lang w:eastAsia="zh-CN"/>
        </w:rPr>
      </w:pPr>
      <w:r>
        <w:fldChar w:fldCharType="begin"/>
      </w:r>
      <w:r>
        <w:instrText xml:space="preserve"> HYPERLINK \l "_Toc119942071" </w:instrText>
      </w:r>
      <w:r>
        <w:fldChar w:fldCharType="separate"/>
      </w:r>
      <w:r w:rsidRPr="00C834A5" w:rsidR="00445467">
        <w:rPr>
          <w:rStyle w:val="Hyperlink"/>
          <w:rFonts w:eastAsia="SimSun"/>
          <w:noProof/>
        </w:rPr>
        <w:t>Part 3 : [Allocation of Rights to Participate in the Property of a Fund</w:t>
      </w:r>
      <w:r w:rsidRPr="00C834A5" w:rsidR="00445467">
        <w:rPr>
          <w:rStyle w:val="Hyperlink"/>
          <w:rFonts w:eastAsia="SimSun"/>
          <w:bCs/>
          <w:noProof/>
        </w:rPr>
        <w:t>]</w:t>
      </w:r>
      <w:r w:rsidR="00445467">
        <w:rPr>
          <w:noProof/>
          <w:webHidden/>
        </w:rPr>
        <w:tab/>
      </w:r>
      <w:r w:rsidR="00445467">
        <w:rPr>
          <w:noProof/>
          <w:webHidden/>
        </w:rPr>
        <w:fldChar w:fldCharType="begin"/>
      </w:r>
      <w:r w:rsidR="00445467">
        <w:rPr>
          <w:noProof/>
          <w:webHidden/>
        </w:rPr>
        <w:instrText xml:space="preserve"> PAGEREF _Toc119942071 \h </w:instrText>
      </w:r>
      <w:r w:rsidR="00445467">
        <w:rPr>
          <w:noProof/>
          <w:webHidden/>
        </w:rPr>
        <w:fldChar w:fldCharType="separate"/>
      </w:r>
      <w:r w:rsidR="00445467">
        <w:rPr>
          <w:noProof/>
          <w:webHidden/>
        </w:rPr>
        <w:t>33</w:t>
      </w:r>
      <w:r w:rsidR="00445467">
        <w:rPr>
          <w:noProof/>
          <w:webHidden/>
        </w:rPr>
        <w:fldChar w:fldCharType="end"/>
      </w:r>
      <w:r>
        <w:fldChar w:fldCharType="end"/>
      </w:r>
    </w:p>
    <w:p w:rsidR="00135C41" w:rsidP="008F663B" w14:paraId="63B2113F" w14:textId="67963A91">
      <w:pPr>
        <w:rPr>
          <w:rFonts w:eastAsia="Times New Roman"/>
          <w:b/>
          <w:bCs/>
          <w:noProof/>
          <w:color w:val="auto"/>
          <w:shd w:val="clear" w:color="auto" w:fill="auto"/>
          <w:lang w:val="en-US"/>
        </w:rPr>
      </w:pPr>
      <w:r>
        <w:rPr>
          <w:rFonts w:eastAsia="Times New Roman"/>
          <w:b/>
          <w:bCs/>
          <w:noProof/>
          <w:lang w:val="en-US"/>
        </w:rPr>
        <w:fldChar w:fldCharType="end"/>
      </w:r>
      <w:bookmarkEnd w:id="0"/>
    </w:p>
    <w:p w:rsidR="0008513F" w:rsidP="008F663B" w14:paraId="414C8E5B" w14:textId="77777777">
      <w:pPr>
        <w:rPr>
          <w:rFonts w:eastAsia="Times New Roman"/>
          <w:b/>
          <w:bCs/>
          <w:noProof/>
          <w:color w:val="auto"/>
          <w:shd w:val="clear" w:color="auto" w:fill="auto"/>
          <w:lang w:val="en-US"/>
        </w:rPr>
      </w:pPr>
      <w:bookmarkStart w:id="1" w:name="BMLR"/>
      <w:bookmarkEnd w:id="1"/>
    </w:p>
    <w:p w:rsidR="00135C41" w:rsidP="008F663B" w14:paraId="30FE0530" w14:textId="77777777">
      <w:pPr>
        <w:rPr>
          <w:rFonts w:eastAsia="Times New Roman"/>
          <w:b/>
          <w:bCs/>
          <w:noProof/>
          <w:color w:val="auto"/>
          <w:shd w:val="clear" w:color="auto" w:fill="auto"/>
          <w:lang w:val="en-US"/>
        </w:rPr>
        <w:sectPr w:rsidSect="00A54CA9">
          <w:headerReference w:type="even" r:id="rId5"/>
          <w:headerReference w:type="default" r:id="rId6"/>
          <w:footerReference w:type="default" r:id="rId7"/>
          <w:headerReference w:type="first" r:id="rId8"/>
          <w:endnotePr>
            <w:numFmt w:val="decimal"/>
          </w:endnotePr>
          <w:pgSz w:w="11906" w:h="16838" w:code="9"/>
          <w:pgMar w:top="1418" w:right="1191" w:bottom="567" w:left="1191" w:header="567" w:footer="624" w:gutter="0"/>
          <w:pgNumType w:fmt="lowerRoman" w:start="1"/>
          <w:cols w:space="708"/>
          <w:docGrid w:linePitch="360"/>
        </w:sectPr>
      </w:pPr>
    </w:p>
    <w:p w:rsidR="000141F7" w:rsidP="000141F7" w14:paraId="1C19CAE5" w14:textId="77777777">
      <w:pPr>
        <w:pStyle w:val="Heading1"/>
        <w:rPr>
          <w:color w:val="auto"/>
          <w:shd w:val="clear" w:color="auto" w:fill="auto"/>
        </w:rPr>
      </w:pPr>
      <w:bookmarkStart w:id="2" w:name="_Toc80522048"/>
      <w:bookmarkStart w:id="3" w:name="_Toc119942025"/>
      <w:r>
        <w:t>Interpretation</w:t>
      </w:r>
      <w:bookmarkEnd w:id="2"/>
      <w:bookmarkEnd w:id="3"/>
    </w:p>
    <w:p w:rsidR="000141F7" w:rsidP="000470E7" w14:paraId="24897F78" w14:textId="69B77598">
      <w:pPr>
        <w:pStyle w:val="ssNoHeading2"/>
        <w:rPr>
          <w:color w:val="auto"/>
          <w:shd w:val="clear" w:color="auto" w:fill="auto"/>
        </w:rPr>
      </w:pPr>
      <w:r>
        <w:t>In this Instrument the words and expressions set out in the first column below shall have the meanings set opposite them unless the context requires otherwise. Words and expressions contained in this Instrument but not defined herein shall have the same meanings as in the Act or the Regulations (as defined below) (as the case may be) unless the contrary is stated.</w:t>
      </w:r>
    </w:p>
    <w:tbl>
      <w:tblPr>
        <w:tblStyle w:val="TableGrid"/>
        <w:tblW w:w="0" w:type="auto"/>
        <w:tblInd w:w="709" w:type="dxa"/>
        <w:tblLook w:val="04A0"/>
      </w:tblPr>
      <w:tblGrid>
        <w:gridCol w:w="2410"/>
        <w:gridCol w:w="6405"/>
      </w:tblGrid>
      <w:tr w14:paraId="70996BE9" w14:textId="77777777" w:rsidTr="00BF63B6">
        <w:tblPrEx>
          <w:tblW w:w="0" w:type="auto"/>
          <w:tblInd w:w="709" w:type="dxa"/>
          <w:tblLook w:val="04A0"/>
        </w:tblPrEx>
        <w:tc>
          <w:tcPr>
            <w:tcW w:w="2410" w:type="dxa"/>
          </w:tcPr>
          <w:p w:rsidR="005B78D2" w:rsidP="00D25CD0" w14:paraId="503C4305" w14:textId="3C50CDF8">
            <w:pPr>
              <w:pStyle w:val="ssNoHeading2"/>
              <w:numPr>
                <w:ilvl w:val="0"/>
                <w:numId w:val="0"/>
              </w:numPr>
              <w:jc w:val="left"/>
              <w:rPr>
                <w:color w:val="auto"/>
                <w:shd w:val="clear" w:color="auto" w:fill="auto"/>
              </w:rPr>
            </w:pPr>
            <w:r>
              <w:t>“</w:t>
            </w:r>
            <w:r>
              <w:rPr>
                <w:u w:val="single"/>
              </w:rPr>
              <w:t>Accumulation Shares</w:t>
            </w:r>
            <w:r>
              <w:t>”</w:t>
            </w:r>
          </w:p>
        </w:tc>
        <w:tc>
          <w:tcPr>
            <w:tcW w:w="6405" w:type="dxa"/>
          </w:tcPr>
          <w:p w:rsidR="005B78D2" w:rsidP="005B78D2" w14:paraId="32E404D0" w14:textId="3923ED02">
            <w:pPr>
              <w:pStyle w:val="ssNoHeading2"/>
              <w:numPr>
                <w:ilvl w:val="0"/>
                <w:numId w:val="0"/>
              </w:numPr>
              <w:rPr>
                <w:color w:val="auto"/>
                <w:shd w:val="clear" w:color="auto" w:fill="auto"/>
              </w:rPr>
            </w:pPr>
            <w:r>
              <w:t>[in respect of a Fund]</w:t>
            </w:r>
            <w:r>
              <w:rPr>
                <w:rStyle w:val="EndnoteReference"/>
              </w:rPr>
              <w:endnoteReference w:id="3"/>
            </w:r>
            <w:r>
              <w:t xml:space="preserve"> Shares (of whatever Class) as may be in issue from time to time in respect of which income allocated thereto is credited periodically to capital pursuant to the FCA Rules;</w:t>
            </w:r>
          </w:p>
        </w:tc>
      </w:tr>
      <w:tr w14:paraId="02476DDC" w14:textId="77777777" w:rsidTr="00BF63B6">
        <w:tblPrEx>
          <w:tblW w:w="0" w:type="auto"/>
          <w:tblInd w:w="709" w:type="dxa"/>
          <w:tblLook w:val="04A0"/>
        </w:tblPrEx>
        <w:tc>
          <w:tcPr>
            <w:tcW w:w="2410" w:type="dxa"/>
          </w:tcPr>
          <w:p w:rsidR="005B78D2" w:rsidP="00D25CD0" w14:paraId="48CDCD5E" w14:textId="159D8D84">
            <w:pPr>
              <w:pStyle w:val="ssNoHeading2"/>
              <w:numPr>
                <w:ilvl w:val="0"/>
                <w:numId w:val="0"/>
              </w:numPr>
              <w:jc w:val="left"/>
              <w:rPr>
                <w:color w:val="auto"/>
                <w:shd w:val="clear" w:color="auto" w:fill="auto"/>
              </w:rPr>
            </w:pPr>
            <w:r>
              <w:t>“</w:t>
            </w:r>
            <w:r>
              <w:rPr>
                <w:u w:val="single"/>
              </w:rPr>
              <w:t>ACD</w:t>
            </w:r>
            <w:r>
              <w:t>”</w:t>
            </w:r>
          </w:p>
        </w:tc>
        <w:tc>
          <w:tcPr>
            <w:tcW w:w="6405" w:type="dxa"/>
          </w:tcPr>
          <w:p w:rsidR="005B78D2" w:rsidP="005B78D2" w14:paraId="1A4C7594" w14:textId="7C376653">
            <w:pPr>
              <w:pStyle w:val="ssNoHeading2"/>
              <w:numPr>
                <w:ilvl w:val="0"/>
                <w:numId w:val="0"/>
              </w:numPr>
              <w:rPr>
                <w:color w:val="auto"/>
                <w:shd w:val="clear" w:color="auto" w:fill="auto"/>
              </w:rPr>
            </w:pPr>
            <w:r>
              <w:t>the authorised corporate director holding office as such from time to time pursuant to the FCA Rules;</w:t>
            </w:r>
          </w:p>
        </w:tc>
      </w:tr>
      <w:tr w14:paraId="06A13D3D" w14:textId="77777777" w:rsidTr="00BF63B6">
        <w:tblPrEx>
          <w:tblW w:w="0" w:type="auto"/>
          <w:tblInd w:w="709" w:type="dxa"/>
          <w:tblLook w:val="04A0"/>
        </w:tblPrEx>
        <w:tc>
          <w:tcPr>
            <w:tcW w:w="2410" w:type="dxa"/>
          </w:tcPr>
          <w:p w:rsidR="005B78D2" w:rsidP="00D25CD0" w14:paraId="094E4227" w14:textId="36B649BC">
            <w:pPr>
              <w:pStyle w:val="ssNoHeading2"/>
              <w:numPr>
                <w:ilvl w:val="0"/>
                <w:numId w:val="0"/>
              </w:numPr>
              <w:jc w:val="left"/>
              <w:rPr>
                <w:color w:val="auto"/>
                <w:shd w:val="clear" w:color="auto" w:fill="auto"/>
              </w:rPr>
            </w:pPr>
            <w:r>
              <w:t>“</w:t>
            </w:r>
            <w:r>
              <w:rPr>
                <w:u w:val="single"/>
              </w:rPr>
              <w:t>Act</w:t>
            </w:r>
            <w:r>
              <w:t>”</w:t>
            </w:r>
          </w:p>
        </w:tc>
        <w:tc>
          <w:tcPr>
            <w:tcW w:w="6405" w:type="dxa"/>
          </w:tcPr>
          <w:p w:rsidR="005B78D2" w:rsidP="005B78D2" w14:paraId="1A4C929C" w14:textId="103F448E">
            <w:pPr>
              <w:pStyle w:val="ssNoHeading2"/>
              <w:numPr>
                <w:ilvl w:val="0"/>
                <w:numId w:val="0"/>
              </w:numPr>
              <w:rPr>
                <w:color w:val="auto"/>
                <w:shd w:val="clear" w:color="auto" w:fill="auto"/>
              </w:rPr>
            </w:pPr>
            <w:r>
              <w:t>the Financial Services and Markets Act 2000;</w:t>
            </w:r>
          </w:p>
        </w:tc>
      </w:tr>
      <w:tr w14:paraId="0E47C9D1" w14:textId="77777777" w:rsidTr="00BF63B6">
        <w:tblPrEx>
          <w:tblW w:w="0" w:type="auto"/>
          <w:tblInd w:w="709" w:type="dxa"/>
          <w:tblLook w:val="04A0"/>
        </w:tblPrEx>
        <w:tc>
          <w:tcPr>
            <w:tcW w:w="2410" w:type="dxa"/>
          </w:tcPr>
          <w:p w:rsidR="005B78D2" w:rsidP="00D25CD0" w14:paraId="72B6F7D4" w14:textId="5726C84B">
            <w:pPr>
              <w:pStyle w:val="ssNoHeading2"/>
              <w:numPr>
                <w:ilvl w:val="0"/>
                <w:numId w:val="0"/>
              </w:numPr>
              <w:jc w:val="left"/>
              <w:rPr>
                <w:color w:val="auto"/>
                <w:shd w:val="clear" w:color="auto" w:fill="auto"/>
              </w:rPr>
            </w:pPr>
            <w:r>
              <w:t>“</w:t>
            </w:r>
            <w:r>
              <w:rPr>
                <w:u w:val="single"/>
              </w:rPr>
              <w:t>AIF</w:t>
            </w:r>
            <w:r>
              <w:t>”</w:t>
            </w:r>
          </w:p>
        </w:tc>
        <w:tc>
          <w:tcPr>
            <w:tcW w:w="6405" w:type="dxa"/>
          </w:tcPr>
          <w:p w:rsidR="005B78D2" w:rsidP="005B78D2" w14:paraId="704E7E14" w14:textId="151B194B">
            <w:pPr>
              <w:pStyle w:val="ssNoHeading2"/>
              <w:numPr>
                <w:ilvl w:val="0"/>
                <w:numId w:val="0"/>
              </w:numPr>
              <w:rPr>
                <w:color w:val="auto"/>
                <w:shd w:val="clear" w:color="auto" w:fill="auto"/>
              </w:rPr>
            </w:pPr>
            <w:r>
              <w:t>has the meaning given to it in the AIFMD Regulations;</w:t>
            </w:r>
          </w:p>
        </w:tc>
      </w:tr>
      <w:tr w14:paraId="251C7DAE" w14:textId="77777777" w:rsidTr="00BF63B6">
        <w:tblPrEx>
          <w:tblW w:w="0" w:type="auto"/>
          <w:tblInd w:w="709" w:type="dxa"/>
          <w:tblLook w:val="04A0"/>
        </w:tblPrEx>
        <w:tc>
          <w:tcPr>
            <w:tcW w:w="2410" w:type="dxa"/>
          </w:tcPr>
          <w:p w:rsidR="005B78D2" w:rsidP="00D25CD0" w14:paraId="434E5484" w14:textId="11C6366E">
            <w:pPr>
              <w:pStyle w:val="ssNoHeading2"/>
              <w:numPr>
                <w:ilvl w:val="0"/>
                <w:numId w:val="0"/>
              </w:numPr>
              <w:jc w:val="left"/>
              <w:rPr>
                <w:color w:val="auto"/>
                <w:shd w:val="clear" w:color="auto" w:fill="auto"/>
              </w:rPr>
            </w:pPr>
            <w:r>
              <w:t>“</w:t>
            </w:r>
            <w:r>
              <w:rPr>
                <w:u w:val="single"/>
              </w:rPr>
              <w:t>AIFM</w:t>
            </w:r>
            <w:r>
              <w:t>”</w:t>
            </w:r>
          </w:p>
        </w:tc>
        <w:tc>
          <w:tcPr>
            <w:tcW w:w="6405" w:type="dxa"/>
          </w:tcPr>
          <w:p w:rsidR="005B78D2" w:rsidP="005B78D2" w14:paraId="2F0D1CF4" w14:textId="7C4116F4">
            <w:pPr>
              <w:pStyle w:val="ssNoHeading2"/>
              <w:numPr>
                <w:ilvl w:val="0"/>
                <w:numId w:val="0"/>
              </w:numPr>
              <w:rPr>
                <w:color w:val="auto"/>
                <w:shd w:val="clear" w:color="auto" w:fill="auto"/>
              </w:rPr>
            </w:pPr>
            <w:r>
              <w:t>has the meaning given to it in the AIFMD Regulations and, in the context of the Company, shall mean the ACD;</w:t>
            </w:r>
          </w:p>
        </w:tc>
      </w:tr>
      <w:tr w14:paraId="6D0190E2" w14:textId="77777777" w:rsidTr="00BF63B6">
        <w:tblPrEx>
          <w:tblW w:w="0" w:type="auto"/>
          <w:tblInd w:w="709" w:type="dxa"/>
          <w:tblLook w:val="04A0"/>
        </w:tblPrEx>
        <w:tc>
          <w:tcPr>
            <w:tcW w:w="2410" w:type="dxa"/>
          </w:tcPr>
          <w:p w:rsidR="005B78D2" w:rsidP="00D25CD0" w14:paraId="510E4929" w14:textId="4BCC5F86">
            <w:pPr>
              <w:pStyle w:val="ssNoHeading2"/>
              <w:numPr>
                <w:ilvl w:val="0"/>
                <w:numId w:val="0"/>
              </w:numPr>
              <w:jc w:val="left"/>
              <w:rPr>
                <w:color w:val="auto"/>
                <w:shd w:val="clear" w:color="auto" w:fill="auto"/>
              </w:rPr>
            </w:pPr>
            <w:r>
              <w:t>“</w:t>
            </w:r>
            <w:r>
              <w:rPr>
                <w:u w:val="single"/>
              </w:rPr>
              <w:t>AIFM Directive</w:t>
            </w:r>
            <w:r>
              <w:t>”</w:t>
            </w:r>
          </w:p>
        </w:tc>
        <w:tc>
          <w:tcPr>
            <w:tcW w:w="6405" w:type="dxa"/>
          </w:tcPr>
          <w:p w:rsidR="005B78D2" w:rsidP="005B78D2" w14:paraId="2C1998A4" w14:textId="524AF8C0">
            <w:pPr>
              <w:pStyle w:val="ssNoHeading2"/>
              <w:numPr>
                <w:ilvl w:val="0"/>
                <w:numId w:val="0"/>
              </w:numPr>
              <w:rPr>
                <w:color w:val="auto"/>
                <w:shd w:val="clear" w:color="auto" w:fill="auto"/>
              </w:rPr>
            </w:pPr>
            <w:r>
              <w:t>Directive 2011/61/EU of the European Parliament and of the Council of 8 June 2011 on Alternative Investment Fund Managers and amending Directives 2003/41/EC and 2009/65/EC and Regulations (EC) No. 1060/2009 and (EU) No. 1095/2010;</w:t>
            </w:r>
          </w:p>
        </w:tc>
      </w:tr>
      <w:tr w14:paraId="13F43736" w14:textId="77777777" w:rsidTr="00BF63B6">
        <w:tblPrEx>
          <w:tblW w:w="0" w:type="auto"/>
          <w:tblInd w:w="709" w:type="dxa"/>
          <w:tblLook w:val="04A0"/>
        </w:tblPrEx>
        <w:tc>
          <w:tcPr>
            <w:tcW w:w="2410" w:type="dxa"/>
          </w:tcPr>
          <w:p w:rsidR="005B78D2" w:rsidP="00D25CD0" w14:paraId="70202EFA" w14:textId="45C7C5A5">
            <w:pPr>
              <w:pStyle w:val="ssNoHeading2"/>
              <w:numPr>
                <w:ilvl w:val="0"/>
                <w:numId w:val="0"/>
              </w:numPr>
              <w:jc w:val="left"/>
              <w:rPr>
                <w:color w:val="auto"/>
                <w:shd w:val="clear" w:color="auto" w:fill="auto"/>
              </w:rPr>
            </w:pPr>
            <w:r>
              <w:t>“</w:t>
            </w:r>
            <w:r>
              <w:rPr>
                <w:u w:val="single"/>
              </w:rPr>
              <w:t>AIFMD Level 2 Regulation</w:t>
            </w:r>
            <w:r>
              <w:t>”</w:t>
            </w:r>
          </w:p>
        </w:tc>
        <w:tc>
          <w:tcPr>
            <w:tcW w:w="6405" w:type="dxa"/>
          </w:tcPr>
          <w:p w:rsidR="005B78D2" w:rsidP="005B78D2" w14:paraId="1DB716D9" w14:textId="0B276818">
            <w:pPr>
              <w:pStyle w:val="ssNoHeading2"/>
              <w:numPr>
                <w:ilvl w:val="0"/>
                <w:numId w:val="0"/>
              </w:numPr>
              <w:rPr>
                <w:color w:val="auto"/>
                <w:shd w:val="clear" w:color="auto" w:fill="auto"/>
              </w:rPr>
            </w:pPr>
            <w:r>
              <w:t>the UK version of Commission Delegated Regulation (EU) No. 231/2013 with regard to exemptions, general operating conditions, depositaries, leverage, transparency and supervision which is part of UK law by virtue of the European Union (Withdrawal) Act 2018;</w:t>
            </w:r>
          </w:p>
        </w:tc>
      </w:tr>
      <w:tr w14:paraId="2310C594" w14:textId="77777777" w:rsidTr="00BF63B6">
        <w:tblPrEx>
          <w:tblW w:w="0" w:type="auto"/>
          <w:tblInd w:w="709" w:type="dxa"/>
          <w:tblLook w:val="04A0"/>
        </w:tblPrEx>
        <w:tc>
          <w:tcPr>
            <w:tcW w:w="2410" w:type="dxa"/>
          </w:tcPr>
          <w:p w:rsidR="005B78D2" w:rsidP="00D25CD0" w14:paraId="1AF6C4D2" w14:textId="1A22A56A">
            <w:pPr>
              <w:pStyle w:val="ssNoHeading2"/>
              <w:numPr>
                <w:ilvl w:val="0"/>
                <w:numId w:val="0"/>
              </w:numPr>
              <w:jc w:val="left"/>
              <w:rPr>
                <w:color w:val="auto"/>
                <w:shd w:val="clear" w:color="auto" w:fill="auto"/>
              </w:rPr>
            </w:pPr>
            <w:r>
              <w:t>“</w:t>
            </w:r>
            <w:r>
              <w:rPr>
                <w:u w:val="single"/>
              </w:rPr>
              <w:t>AIFMD Regulations</w:t>
            </w:r>
            <w:r>
              <w:t>”</w:t>
            </w:r>
          </w:p>
        </w:tc>
        <w:tc>
          <w:tcPr>
            <w:tcW w:w="6405" w:type="dxa"/>
          </w:tcPr>
          <w:p w:rsidR="005B78D2" w:rsidP="005B78D2" w14:paraId="07E97A98" w14:textId="68DFA410">
            <w:pPr>
              <w:pStyle w:val="ssNoHeading2"/>
              <w:numPr>
                <w:ilvl w:val="0"/>
                <w:numId w:val="0"/>
              </w:numPr>
              <w:rPr>
                <w:color w:val="auto"/>
                <w:shd w:val="clear" w:color="auto" w:fill="auto"/>
              </w:rPr>
            </w:pPr>
            <w:r>
              <w:t>the AIFMD Level 2 Regulation, the UK AIFMD Regulations and such provisions of the FCA Rules as relate to, or concern the implementation of, the AIFM Directive and any other applicable legislation relating to, or concerning the implementation of, the AIFM Directive in the UK;</w:t>
            </w:r>
          </w:p>
        </w:tc>
      </w:tr>
      <w:tr w14:paraId="1FEA5DCC" w14:textId="77777777" w:rsidTr="00BF63B6">
        <w:tblPrEx>
          <w:tblW w:w="0" w:type="auto"/>
          <w:tblInd w:w="709" w:type="dxa"/>
          <w:tblLook w:val="04A0"/>
        </w:tblPrEx>
        <w:tc>
          <w:tcPr>
            <w:tcW w:w="2410" w:type="dxa"/>
          </w:tcPr>
          <w:p w:rsidR="0043626E" w:rsidP="00D25CD0" w14:paraId="56A95324" w14:textId="31E09352">
            <w:pPr>
              <w:pStyle w:val="ssNoHeading2"/>
              <w:numPr>
                <w:ilvl w:val="0"/>
                <w:numId w:val="0"/>
              </w:numPr>
              <w:jc w:val="left"/>
              <w:rPr>
                <w:color w:val="auto"/>
                <w:shd w:val="clear" w:color="auto" w:fill="auto"/>
              </w:rPr>
            </w:pPr>
            <w:r>
              <w:t>“</w:t>
            </w:r>
            <w:r>
              <w:rPr>
                <w:u w:val="single"/>
              </w:rPr>
              <w:t>Base Currency</w:t>
            </w:r>
            <w:r>
              <w:t>”</w:t>
            </w:r>
          </w:p>
        </w:tc>
        <w:tc>
          <w:tcPr>
            <w:tcW w:w="6405" w:type="dxa"/>
          </w:tcPr>
          <w:p w:rsidR="0043626E" w:rsidP="005B78D2" w14:paraId="38E763BF" w14:textId="5E3529FB">
            <w:pPr>
              <w:pStyle w:val="ssNoHeading2"/>
              <w:numPr>
                <w:ilvl w:val="0"/>
                <w:numId w:val="0"/>
              </w:numPr>
              <w:rPr>
                <w:color w:val="auto"/>
                <w:shd w:val="clear" w:color="auto" w:fill="auto"/>
              </w:rPr>
            </w:pPr>
            <w:r>
              <w:t>the currency in which the accounts of the Company are to be prepared in accordance with this Instrument [provided that in the context of a Fund or the price of a Share relating to a Fund or a payment in respect of such a Share, reference to base currency shall be treated as a reference to the currency stated in the Prospectus as being the currency to be used for the purpose in question in relation to that Fund]</w:t>
            </w:r>
            <w:r w:rsidR="00AD5133">
              <w:rPr>
                <w:vertAlign w:val="superscript"/>
              </w:rPr>
              <w:t>2</w:t>
            </w:r>
            <w:r>
              <w:t>;</w:t>
            </w:r>
          </w:p>
        </w:tc>
      </w:tr>
      <w:tr w14:paraId="2E54EE20" w14:textId="77777777" w:rsidTr="00BF63B6">
        <w:tblPrEx>
          <w:tblW w:w="0" w:type="auto"/>
          <w:tblInd w:w="709" w:type="dxa"/>
          <w:tblLook w:val="04A0"/>
        </w:tblPrEx>
        <w:tc>
          <w:tcPr>
            <w:tcW w:w="2410" w:type="dxa"/>
          </w:tcPr>
          <w:p w:rsidR="00AE7836" w:rsidP="00D25CD0" w14:paraId="3571C998" w14:textId="4102DF50">
            <w:pPr>
              <w:pStyle w:val="ssNoHeading2"/>
              <w:numPr>
                <w:ilvl w:val="0"/>
                <w:numId w:val="0"/>
              </w:numPr>
              <w:jc w:val="left"/>
              <w:rPr>
                <w:color w:val="auto"/>
                <w:shd w:val="clear" w:color="auto" w:fill="auto"/>
              </w:rPr>
            </w:pPr>
            <w:r>
              <w:t>“</w:t>
            </w:r>
            <w:r>
              <w:rPr>
                <w:u w:val="single"/>
              </w:rPr>
              <w:t>Class</w:t>
            </w:r>
            <w:r>
              <w:t>”</w:t>
            </w:r>
          </w:p>
        </w:tc>
        <w:tc>
          <w:tcPr>
            <w:tcW w:w="6405" w:type="dxa"/>
          </w:tcPr>
          <w:p w:rsidR="00AE7836" w:rsidP="005B78D2" w14:paraId="694F9D5D" w14:textId="34573C9C">
            <w:pPr>
              <w:pStyle w:val="ssNoHeading2"/>
              <w:numPr>
                <w:ilvl w:val="0"/>
                <w:numId w:val="0"/>
              </w:numPr>
              <w:rPr>
                <w:color w:val="auto"/>
                <w:shd w:val="clear" w:color="auto" w:fill="auto"/>
              </w:rPr>
            </w:pPr>
            <w:r>
              <w:t>[in respect of any Fund]</w:t>
            </w:r>
            <w:r>
              <w:rPr>
                <w:vertAlign w:val="superscript"/>
              </w:rPr>
              <w:t xml:space="preserve">2 </w:t>
            </w:r>
            <w:r>
              <w:t xml:space="preserve">a particular class of Shares as described in Clause </w:t>
            </w:r>
            <w:r>
              <w:rPr>
                <w:cs/>
              </w:rPr>
              <w:t>‎</w:t>
            </w:r>
            <w:r>
              <w:fldChar w:fldCharType="begin"/>
            </w:r>
            <w:r>
              <w:instrText xml:space="preserve"> REF _Ref92242657 \r \h  \* MERGEFORMAT </w:instrText>
            </w:r>
            <w:r>
              <w:fldChar w:fldCharType="separate"/>
            </w:r>
            <w:r w:rsidR="0011178A">
              <w:rPr>
                <w:cs/>
              </w:rPr>
              <w:t>‎</w:t>
            </w:r>
            <w:r w:rsidR="0011178A">
              <w:t>12.2</w:t>
            </w:r>
            <w:r>
              <w:fldChar w:fldCharType="end"/>
            </w:r>
            <w:r>
              <w:t>;</w:t>
            </w:r>
          </w:p>
        </w:tc>
      </w:tr>
      <w:tr w14:paraId="0B372A4F" w14:textId="77777777" w:rsidTr="00BF63B6">
        <w:tblPrEx>
          <w:tblW w:w="0" w:type="auto"/>
          <w:tblInd w:w="709" w:type="dxa"/>
          <w:tblLook w:val="04A0"/>
        </w:tblPrEx>
        <w:tc>
          <w:tcPr>
            <w:tcW w:w="2410" w:type="dxa"/>
          </w:tcPr>
          <w:p w:rsidR="00AE7836" w:rsidP="00D25CD0" w14:paraId="5B3EF8B4" w14:textId="2AB588EF">
            <w:pPr>
              <w:pStyle w:val="ssNoHeading2"/>
              <w:numPr>
                <w:ilvl w:val="0"/>
                <w:numId w:val="0"/>
              </w:numPr>
              <w:jc w:val="left"/>
              <w:rPr>
                <w:color w:val="auto"/>
                <w:shd w:val="clear" w:color="auto" w:fill="auto"/>
              </w:rPr>
            </w:pPr>
            <w:r>
              <w:t>“</w:t>
            </w:r>
            <w:r>
              <w:rPr>
                <w:u w:val="single"/>
              </w:rPr>
              <w:t>COLL Sourcebook</w:t>
            </w:r>
            <w:r>
              <w:t>” or “</w:t>
            </w:r>
            <w:r w:rsidRPr="000031A5">
              <w:rPr>
                <w:u w:val="single"/>
              </w:rPr>
              <w:t>COLL</w:t>
            </w:r>
            <w:r>
              <w:t>”</w:t>
            </w:r>
          </w:p>
        </w:tc>
        <w:tc>
          <w:tcPr>
            <w:tcW w:w="6405" w:type="dxa"/>
          </w:tcPr>
          <w:p w:rsidR="00AE7836" w:rsidP="005B78D2" w14:paraId="19D7E9F5" w14:textId="1152F2F9">
            <w:pPr>
              <w:pStyle w:val="ssNoHeading2"/>
              <w:numPr>
                <w:ilvl w:val="0"/>
                <w:numId w:val="0"/>
              </w:numPr>
              <w:rPr>
                <w:color w:val="auto"/>
                <w:shd w:val="clear" w:color="auto" w:fill="auto"/>
              </w:rPr>
            </w:pPr>
            <w:r>
              <w:t xml:space="preserve">the rules contained in the Collective Investment Schemes Sourcebook published by the FCA as part of the FCA Handbook </w:t>
            </w:r>
            <w:r>
              <w:t>which shall, for the avoidance of doubt, not include guidance or evidential requirements contained therein;</w:t>
            </w:r>
          </w:p>
        </w:tc>
      </w:tr>
      <w:tr w14:paraId="0542BF97" w14:textId="77777777" w:rsidTr="00BF63B6">
        <w:tblPrEx>
          <w:tblW w:w="0" w:type="auto"/>
          <w:tblInd w:w="709" w:type="dxa"/>
          <w:tblLook w:val="04A0"/>
        </w:tblPrEx>
        <w:tc>
          <w:tcPr>
            <w:tcW w:w="2410" w:type="dxa"/>
          </w:tcPr>
          <w:p w:rsidR="00AE7836" w:rsidP="00D25CD0" w14:paraId="02B5BAFB" w14:textId="363FEC23">
            <w:pPr>
              <w:pStyle w:val="ssNoHeading2"/>
              <w:numPr>
                <w:ilvl w:val="0"/>
                <w:numId w:val="0"/>
              </w:numPr>
              <w:jc w:val="left"/>
              <w:rPr>
                <w:color w:val="auto"/>
                <w:shd w:val="clear" w:color="auto" w:fill="auto"/>
              </w:rPr>
            </w:pPr>
            <w:r>
              <w:t>“</w:t>
            </w:r>
            <w:r>
              <w:rPr>
                <w:u w:val="single"/>
              </w:rPr>
              <w:t>Company</w:t>
            </w:r>
            <w:r>
              <w:t>”</w:t>
            </w:r>
          </w:p>
        </w:tc>
        <w:tc>
          <w:tcPr>
            <w:tcW w:w="6405" w:type="dxa"/>
          </w:tcPr>
          <w:p w:rsidR="00AE7836" w:rsidP="005B78D2" w14:paraId="10D2E25D" w14:textId="4D52BE99">
            <w:pPr>
              <w:pStyle w:val="ssNoHeading2"/>
              <w:numPr>
                <w:ilvl w:val="0"/>
                <w:numId w:val="0"/>
              </w:numPr>
              <w:rPr>
                <w:color w:val="auto"/>
                <w:shd w:val="clear" w:color="auto" w:fill="auto"/>
              </w:rPr>
            </w:pPr>
            <w:r>
              <w:t>[name of OEIC];</w:t>
            </w:r>
          </w:p>
        </w:tc>
      </w:tr>
      <w:tr w14:paraId="7998EB40" w14:textId="77777777" w:rsidTr="00BF63B6">
        <w:tblPrEx>
          <w:tblW w:w="0" w:type="auto"/>
          <w:tblInd w:w="709" w:type="dxa"/>
          <w:tblLook w:val="04A0"/>
        </w:tblPrEx>
        <w:tc>
          <w:tcPr>
            <w:tcW w:w="2410" w:type="dxa"/>
          </w:tcPr>
          <w:p w:rsidR="00AE7836" w:rsidP="00D25CD0" w14:paraId="703AD43E" w14:textId="7A66E326">
            <w:pPr>
              <w:pStyle w:val="ssNoHeading2"/>
              <w:numPr>
                <w:ilvl w:val="0"/>
                <w:numId w:val="0"/>
              </w:numPr>
              <w:jc w:val="left"/>
              <w:rPr>
                <w:color w:val="auto"/>
                <w:shd w:val="clear" w:color="auto" w:fill="auto"/>
              </w:rPr>
            </w:pPr>
            <w:r>
              <w:t>“</w:t>
            </w:r>
            <w:r>
              <w:rPr>
                <w:u w:val="single"/>
              </w:rPr>
              <w:t>Dealing Day</w:t>
            </w:r>
            <w:r>
              <w:t>”</w:t>
            </w:r>
          </w:p>
        </w:tc>
        <w:tc>
          <w:tcPr>
            <w:tcW w:w="6405" w:type="dxa"/>
          </w:tcPr>
          <w:p w:rsidR="00AE7836" w:rsidP="005B78D2" w14:paraId="1BED4C68" w14:textId="58251467">
            <w:pPr>
              <w:pStyle w:val="ssNoHeading2"/>
              <w:numPr>
                <w:ilvl w:val="0"/>
                <w:numId w:val="0"/>
              </w:numPr>
              <w:rPr>
                <w:color w:val="auto"/>
                <w:shd w:val="clear" w:color="auto" w:fill="auto"/>
              </w:rPr>
            </w:pPr>
            <w:r>
              <w:t>a day on which Shares may be dealt in accordance with the Prospectus;</w:t>
            </w:r>
          </w:p>
        </w:tc>
      </w:tr>
      <w:tr w14:paraId="3E8A15ED" w14:textId="77777777" w:rsidTr="00BF63B6">
        <w:tblPrEx>
          <w:tblW w:w="0" w:type="auto"/>
          <w:tblInd w:w="709" w:type="dxa"/>
          <w:tblLook w:val="04A0"/>
        </w:tblPrEx>
        <w:tc>
          <w:tcPr>
            <w:tcW w:w="2410" w:type="dxa"/>
          </w:tcPr>
          <w:p w:rsidR="00AE7836" w:rsidP="00D25CD0" w14:paraId="7A85DC4D" w14:textId="218C86F7">
            <w:pPr>
              <w:pStyle w:val="ssNoHeading2"/>
              <w:numPr>
                <w:ilvl w:val="0"/>
                <w:numId w:val="0"/>
              </w:numPr>
              <w:jc w:val="left"/>
              <w:rPr>
                <w:color w:val="auto"/>
                <w:shd w:val="clear" w:color="auto" w:fill="auto"/>
              </w:rPr>
            </w:pPr>
            <w:r>
              <w:t>“</w:t>
            </w:r>
            <w:r>
              <w:rPr>
                <w:u w:val="single"/>
              </w:rPr>
              <w:t>Depositary</w:t>
            </w:r>
            <w:r>
              <w:t>”</w:t>
            </w:r>
          </w:p>
        </w:tc>
        <w:tc>
          <w:tcPr>
            <w:tcW w:w="6405" w:type="dxa"/>
          </w:tcPr>
          <w:p w:rsidR="00AE7836" w:rsidP="005B78D2" w14:paraId="7C615F18" w14:textId="27227983">
            <w:pPr>
              <w:pStyle w:val="ssNoHeading2"/>
              <w:numPr>
                <w:ilvl w:val="0"/>
                <w:numId w:val="0"/>
              </w:numPr>
              <w:rPr>
                <w:color w:val="auto"/>
                <w:shd w:val="clear" w:color="auto" w:fill="auto"/>
              </w:rPr>
            </w:pPr>
            <w:r>
              <w:t xml:space="preserve">the person appointed from time to time  </w:t>
            </w:r>
            <w:r>
              <w:t>whom</w:t>
            </w:r>
            <w:r>
              <w:t xml:space="preserve"> is entrusted the safekeeping of all the Scheme Property (other than certain Scheme Property designated by the FCA Rules) and who has been appointed for this purpose in accordance with the OEIC Regulations and the UK AIFMD Regulations;</w:t>
            </w:r>
          </w:p>
        </w:tc>
      </w:tr>
      <w:tr w14:paraId="6EA180E0" w14:textId="77777777" w:rsidTr="00BF63B6">
        <w:tblPrEx>
          <w:tblW w:w="0" w:type="auto"/>
          <w:tblInd w:w="709" w:type="dxa"/>
          <w:tblLook w:val="04A0"/>
        </w:tblPrEx>
        <w:tc>
          <w:tcPr>
            <w:tcW w:w="2410" w:type="dxa"/>
          </w:tcPr>
          <w:p w:rsidR="00AE7836" w:rsidP="00D25CD0" w14:paraId="527808D4" w14:textId="3CA33CDB">
            <w:pPr>
              <w:pStyle w:val="ssNoHeading2"/>
              <w:numPr>
                <w:ilvl w:val="0"/>
                <w:numId w:val="0"/>
              </w:numPr>
              <w:jc w:val="left"/>
              <w:rPr>
                <w:color w:val="auto"/>
                <w:shd w:val="clear" w:color="auto" w:fill="auto"/>
              </w:rPr>
            </w:pPr>
            <w:r>
              <w:t>“</w:t>
            </w:r>
            <w:r w:rsidRPr="00362433">
              <w:rPr>
                <w:u w:val="single"/>
              </w:rPr>
              <w:t>extraordinary</w:t>
            </w:r>
            <w:r w:rsidRPr="00362433">
              <w:rPr>
                <w:u w:val="single"/>
              </w:rPr>
              <w:t xml:space="preserve"> resolution</w:t>
            </w:r>
            <w:r>
              <w:t>”</w:t>
            </w:r>
          </w:p>
        </w:tc>
        <w:tc>
          <w:tcPr>
            <w:tcW w:w="6405" w:type="dxa"/>
          </w:tcPr>
          <w:p w:rsidR="00AE7836" w:rsidP="005B78D2" w14:paraId="61F77DC9" w14:textId="5C616DD5">
            <w:pPr>
              <w:pStyle w:val="ssNoHeading2"/>
              <w:numPr>
                <w:ilvl w:val="0"/>
                <w:numId w:val="0"/>
              </w:numPr>
              <w:rPr>
                <w:color w:val="auto"/>
                <w:shd w:val="clear" w:color="auto" w:fill="auto"/>
              </w:rPr>
            </w:pPr>
            <w:r w:rsidRPr="000A6744">
              <w:t xml:space="preserve">a resolution </w:t>
            </w:r>
            <w:r>
              <w:t>of the Company in general meeting or a Class meeting [or Fund meeting]</w:t>
            </w:r>
            <w:r>
              <w:rPr>
                <w:vertAlign w:val="superscript"/>
              </w:rPr>
              <w:t>2</w:t>
            </w:r>
            <w:r>
              <w:t xml:space="preserve"> (as the case may be) </w:t>
            </w:r>
            <w:r w:rsidRPr="000A6744">
              <w:t xml:space="preserve">passed by a majority of not less than three-quarters of the votes validly cast (whether on a show of hands or on a poll) for and against the resolution at </w:t>
            </w:r>
            <w:r>
              <w:t>such</w:t>
            </w:r>
            <w:r w:rsidRPr="000A6744">
              <w:t xml:space="preserve"> meeting</w:t>
            </w:r>
            <w:r w:rsidRPr="00067B79">
              <w:t>, of which notice specifying the intention to propose the resolution as an extraordinary resolution has been duly given</w:t>
            </w:r>
            <w:r>
              <w:t>;</w:t>
            </w:r>
          </w:p>
        </w:tc>
      </w:tr>
      <w:tr w14:paraId="6185B8D7" w14:textId="77777777" w:rsidTr="00BF63B6">
        <w:tblPrEx>
          <w:tblW w:w="0" w:type="auto"/>
          <w:tblInd w:w="709" w:type="dxa"/>
          <w:tblLook w:val="04A0"/>
        </w:tblPrEx>
        <w:tc>
          <w:tcPr>
            <w:tcW w:w="2410" w:type="dxa"/>
          </w:tcPr>
          <w:p w:rsidR="00AE7836" w:rsidP="00D25CD0" w14:paraId="44DA110E" w14:textId="3A15E3EA">
            <w:pPr>
              <w:pStyle w:val="ssNoHeading2"/>
              <w:numPr>
                <w:ilvl w:val="0"/>
                <w:numId w:val="0"/>
              </w:numPr>
              <w:jc w:val="left"/>
              <w:rPr>
                <w:color w:val="auto"/>
                <w:shd w:val="clear" w:color="auto" w:fill="auto"/>
              </w:rPr>
            </w:pPr>
            <w:r>
              <w:t>“</w:t>
            </w:r>
            <w:r>
              <w:rPr>
                <w:u w:val="single"/>
              </w:rPr>
              <w:t>FCA</w:t>
            </w:r>
            <w:r>
              <w:t>”</w:t>
            </w:r>
          </w:p>
        </w:tc>
        <w:tc>
          <w:tcPr>
            <w:tcW w:w="6405" w:type="dxa"/>
          </w:tcPr>
          <w:p w:rsidR="00AE7836" w:rsidP="005B78D2" w14:paraId="7CCD0D57" w14:textId="39B5AC64">
            <w:pPr>
              <w:pStyle w:val="ssNoHeading2"/>
              <w:numPr>
                <w:ilvl w:val="0"/>
                <w:numId w:val="0"/>
              </w:numPr>
              <w:rPr>
                <w:color w:val="auto"/>
                <w:shd w:val="clear" w:color="auto" w:fill="auto"/>
              </w:rPr>
            </w:pPr>
            <w:r>
              <w:t>the Financial Conduct Authority, or any successor regulatory body or bodies;</w:t>
            </w:r>
          </w:p>
        </w:tc>
      </w:tr>
      <w:tr w14:paraId="287FEA75" w14:textId="77777777" w:rsidTr="00BF63B6">
        <w:tblPrEx>
          <w:tblW w:w="0" w:type="auto"/>
          <w:tblInd w:w="709" w:type="dxa"/>
          <w:tblLook w:val="04A0"/>
        </w:tblPrEx>
        <w:tc>
          <w:tcPr>
            <w:tcW w:w="2410" w:type="dxa"/>
          </w:tcPr>
          <w:p w:rsidR="00AE7836" w:rsidP="00D25CD0" w14:paraId="62110238" w14:textId="5A0CC7DC">
            <w:pPr>
              <w:pStyle w:val="ssNoHeading2"/>
              <w:numPr>
                <w:ilvl w:val="0"/>
                <w:numId w:val="0"/>
              </w:numPr>
              <w:jc w:val="left"/>
              <w:rPr>
                <w:color w:val="auto"/>
                <w:shd w:val="clear" w:color="auto" w:fill="auto"/>
              </w:rPr>
            </w:pPr>
            <w:r>
              <w:t>“</w:t>
            </w:r>
            <w:r>
              <w:rPr>
                <w:u w:val="single"/>
              </w:rPr>
              <w:t>FCA Handbook</w:t>
            </w:r>
            <w:r>
              <w:t>”</w:t>
            </w:r>
          </w:p>
        </w:tc>
        <w:tc>
          <w:tcPr>
            <w:tcW w:w="6405" w:type="dxa"/>
          </w:tcPr>
          <w:p w:rsidR="00AE7836" w:rsidP="005B78D2" w14:paraId="418F10AF" w14:textId="668596F4">
            <w:pPr>
              <w:pStyle w:val="ssNoHeading2"/>
              <w:numPr>
                <w:ilvl w:val="0"/>
                <w:numId w:val="0"/>
              </w:numPr>
              <w:rPr>
                <w:color w:val="auto"/>
                <w:shd w:val="clear" w:color="auto" w:fill="auto"/>
              </w:rPr>
            </w:pPr>
            <w:r>
              <w:t>the rules contained in the Handbook of Rules and Guidance published by the FCA under the Act which shall, for the avoidance of doubt, not include guidance or evidential requirements contained therein;</w:t>
            </w:r>
          </w:p>
        </w:tc>
      </w:tr>
      <w:tr w14:paraId="16776F04" w14:textId="77777777" w:rsidTr="00BF63B6">
        <w:tblPrEx>
          <w:tblW w:w="0" w:type="auto"/>
          <w:tblInd w:w="709" w:type="dxa"/>
          <w:tblLook w:val="04A0"/>
        </w:tblPrEx>
        <w:tc>
          <w:tcPr>
            <w:tcW w:w="2410" w:type="dxa"/>
          </w:tcPr>
          <w:p w:rsidR="00AE7836" w:rsidP="0058226C" w14:paraId="1F9125A5" w14:textId="5EE794E2">
            <w:pPr>
              <w:pStyle w:val="ssNoHeading2"/>
              <w:numPr>
                <w:ilvl w:val="0"/>
                <w:numId w:val="0"/>
              </w:numPr>
              <w:jc w:val="left"/>
              <w:rPr>
                <w:color w:val="auto"/>
                <w:shd w:val="clear" w:color="auto" w:fill="auto"/>
              </w:rPr>
            </w:pPr>
            <w:r>
              <w:t>“</w:t>
            </w:r>
            <w:r>
              <w:rPr>
                <w:u w:val="single"/>
              </w:rPr>
              <w:t>FCA Rules</w:t>
            </w:r>
            <w:r>
              <w:t>”</w:t>
            </w:r>
          </w:p>
        </w:tc>
        <w:tc>
          <w:tcPr>
            <w:tcW w:w="6405" w:type="dxa"/>
          </w:tcPr>
          <w:p w:rsidR="00AE7836" w:rsidP="0058226C" w14:paraId="1E5DFB1E" w14:textId="53C38EB4">
            <w:pPr>
              <w:pStyle w:val="ssNoHeading2"/>
              <w:numPr>
                <w:ilvl w:val="0"/>
                <w:numId w:val="0"/>
              </w:numPr>
              <w:rPr>
                <w:color w:val="auto"/>
                <w:shd w:val="clear" w:color="auto" w:fill="auto"/>
              </w:rPr>
            </w:pPr>
            <w:r>
              <w:t>the rules contained in the COLL Sourcebook and/or FUND Sourcebook as appropriate in each case as published by the FCA as part of the FCA Handbook;</w:t>
            </w:r>
          </w:p>
        </w:tc>
      </w:tr>
      <w:tr w14:paraId="28BAEFBB" w14:textId="77777777" w:rsidTr="00BF63B6">
        <w:tblPrEx>
          <w:tblW w:w="0" w:type="auto"/>
          <w:tblInd w:w="709" w:type="dxa"/>
          <w:tblLook w:val="04A0"/>
        </w:tblPrEx>
        <w:tc>
          <w:tcPr>
            <w:tcW w:w="2410" w:type="dxa"/>
          </w:tcPr>
          <w:p w:rsidR="00AE7836" w:rsidP="0058226C" w14:paraId="4E525F06" w14:textId="78D54761">
            <w:pPr>
              <w:pStyle w:val="ssNoHeading2"/>
              <w:numPr>
                <w:ilvl w:val="0"/>
                <w:numId w:val="0"/>
              </w:numPr>
              <w:jc w:val="left"/>
              <w:rPr>
                <w:color w:val="auto"/>
                <w:shd w:val="clear" w:color="auto" w:fill="auto"/>
              </w:rPr>
            </w:pPr>
            <w:r>
              <w:t>[“</w:t>
            </w:r>
            <w:r>
              <w:rPr>
                <w:u w:val="single"/>
              </w:rPr>
              <w:t>Fund</w:t>
            </w:r>
            <w:r>
              <w:t>”</w:t>
            </w:r>
          </w:p>
        </w:tc>
        <w:tc>
          <w:tcPr>
            <w:tcW w:w="6405" w:type="dxa"/>
          </w:tcPr>
          <w:p w:rsidR="00AE7836" w:rsidP="0058226C" w14:paraId="49143ED3" w14:textId="54E4AC5F">
            <w:pPr>
              <w:pStyle w:val="ssNoHeading2"/>
              <w:numPr>
                <w:ilvl w:val="0"/>
                <w:numId w:val="0"/>
              </w:numPr>
              <w:rPr>
                <w:color w:val="auto"/>
                <w:shd w:val="clear" w:color="auto" w:fill="auto"/>
              </w:rPr>
            </w:pPr>
            <w:r>
              <w:t>a sub-fund of the Company;]</w:t>
            </w:r>
            <w:r>
              <w:rPr>
                <w:vertAlign w:val="superscript"/>
              </w:rPr>
              <w:t>2</w:t>
            </w:r>
          </w:p>
        </w:tc>
      </w:tr>
      <w:tr w14:paraId="58C6EC1D" w14:textId="77777777" w:rsidTr="00BF63B6">
        <w:tblPrEx>
          <w:tblW w:w="0" w:type="auto"/>
          <w:tblInd w:w="709" w:type="dxa"/>
          <w:tblLook w:val="04A0"/>
        </w:tblPrEx>
        <w:tc>
          <w:tcPr>
            <w:tcW w:w="2410" w:type="dxa"/>
          </w:tcPr>
          <w:p w:rsidR="00AE7836" w:rsidP="0058226C" w14:paraId="268BB2ED" w14:textId="47F8B5A7">
            <w:pPr>
              <w:pStyle w:val="ssNoHeading2"/>
              <w:numPr>
                <w:ilvl w:val="0"/>
                <w:numId w:val="0"/>
              </w:numPr>
              <w:jc w:val="left"/>
              <w:rPr>
                <w:color w:val="auto"/>
                <w:shd w:val="clear" w:color="auto" w:fill="auto"/>
              </w:rPr>
            </w:pPr>
            <w:r>
              <w:t>“</w:t>
            </w:r>
            <w:r>
              <w:rPr>
                <w:u w:val="single"/>
              </w:rPr>
              <w:t>FUND Sourcebook</w:t>
            </w:r>
            <w:r>
              <w:t>”</w:t>
            </w:r>
          </w:p>
        </w:tc>
        <w:tc>
          <w:tcPr>
            <w:tcW w:w="6405" w:type="dxa"/>
          </w:tcPr>
          <w:p w:rsidR="00AE7836" w:rsidP="0058226C" w14:paraId="585BE757" w14:textId="407FFB9E">
            <w:pPr>
              <w:pStyle w:val="ssNoHeading2"/>
              <w:numPr>
                <w:ilvl w:val="0"/>
                <w:numId w:val="0"/>
              </w:numPr>
              <w:rPr>
                <w:color w:val="auto"/>
                <w:shd w:val="clear" w:color="auto" w:fill="auto"/>
              </w:rPr>
            </w:pPr>
            <w:r>
              <w:t>the rules contained in the Investment Funds Sourcebook (“FUND”) published by the FCA as part of the FCA Handbook which shall, for the avoidance of doubt, not include guidance or evidential requirements contained therein;</w:t>
            </w:r>
          </w:p>
        </w:tc>
      </w:tr>
      <w:tr w14:paraId="7D5A641E" w14:textId="77777777" w:rsidTr="00BF63B6">
        <w:tblPrEx>
          <w:tblW w:w="0" w:type="auto"/>
          <w:tblInd w:w="709" w:type="dxa"/>
          <w:tblLook w:val="04A0"/>
        </w:tblPrEx>
        <w:tc>
          <w:tcPr>
            <w:tcW w:w="2410" w:type="dxa"/>
          </w:tcPr>
          <w:p w:rsidR="00AE7836" w:rsidP="0058226C" w14:paraId="625D09DF" w14:textId="477E075C">
            <w:pPr>
              <w:pStyle w:val="ssNoHeading2"/>
              <w:numPr>
                <w:ilvl w:val="0"/>
                <w:numId w:val="0"/>
              </w:numPr>
              <w:jc w:val="left"/>
              <w:rPr>
                <w:color w:val="auto"/>
                <w:shd w:val="clear" w:color="auto" w:fill="auto"/>
              </w:rPr>
            </w:pPr>
            <w:r>
              <w:t>“</w:t>
            </w:r>
            <w:r>
              <w:rPr>
                <w:u w:val="single"/>
              </w:rPr>
              <w:t>Income Shares</w:t>
            </w:r>
            <w:r>
              <w:t>”</w:t>
            </w:r>
          </w:p>
        </w:tc>
        <w:tc>
          <w:tcPr>
            <w:tcW w:w="6405" w:type="dxa"/>
          </w:tcPr>
          <w:p w:rsidR="00AE7836" w:rsidP="0058226C" w14:paraId="26509B16" w14:textId="4F48242C">
            <w:pPr>
              <w:pStyle w:val="ssNoHeading2"/>
              <w:numPr>
                <w:ilvl w:val="0"/>
                <w:numId w:val="0"/>
              </w:numPr>
              <w:rPr>
                <w:color w:val="auto"/>
                <w:shd w:val="clear" w:color="auto" w:fill="auto"/>
              </w:rPr>
            </w:pPr>
            <w:r>
              <w:t>[in respect of a Fund]</w:t>
            </w:r>
            <w:r>
              <w:rPr>
                <w:vertAlign w:val="superscript"/>
              </w:rPr>
              <w:t>2</w:t>
            </w:r>
            <w:r>
              <w:t xml:space="preserve"> Shares (of whatever Class) in as may be in issue from time to time and in respect of which income allocated thereto is distributed periodically to the holders thereof pursuant to the FCA Rules;</w:t>
            </w:r>
          </w:p>
        </w:tc>
      </w:tr>
      <w:tr w14:paraId="3F1FAFA0" w14:textId="77777777" w:rsidTr="00BF63B6">
        <w:tblPrEx>
          <w:tblW w:w="0" w:type="auto"/>
          <w:tblInd w:w="709" w:type="dxa"/>
          <w:tblLook w:val="04A0"/>
        </w:tblPrEx>
        <w:tc>
          <w:tcPr>
            <w:tcW w:w="2410" w:type="dxa"/>
          </w:tcPr>
          <w:p w:rsidR="00AE7836" w:rsidP="0058226C" w14:paraId="14FD7E23" w14:textId="3512009B">
            <w:pPr>
              <w:pStyle w:val="ssNoHeading2"/>
              <w:numPr>
                <w:ilvl w:val="0"/>
                <w:numId w:val="0"/>
              </w:numPr>
              <w:jc w:val="left"/>
              <w:rPr>
                <w:color w:val="auto"/>
                <w:shd w:val="clear" w:color="auto" w:fill="auto"/>
              </w:rPr>
            </w:pPr>
            <w:r>
              <w:t>“</w:t>
            </w:r>
            <w:r>
              <w:rPr>
                <w:u w:val="single"/>
              </w:rPr>
              <w:t>this</w:t>
            </w:r>
            <w:r>
              <w:rPr>
                <w:u w:val="single"/>
              </w:rPr>
              <w:t xml:space="preserve"> Instrument</w:t>
            </w:r>
            <w:r>
              <w:t>”</w:t>
            </w:r>
          </w:p>
        </w:tc>
        <w:tc>
          <w:tcPr>
            <w:tcW w:w="6405" w:type="dxa"/>
          </w:tcPr>
          <w:p w:rsidR="00AE7836" w:rsidP="0058226C" w14:paraId="5BDCC288" w14:textId="4630F405">
            <w:pPr>
              <w:pStyle w:val="ssNoHeading2"/>
              <w:numPr>
                <w:ilvl w:val="0"/>
                <w:numId w:val="0"/>
              </w:numPr>
              <w:rPr>
                <w:color w:val="auto"/>
                <w:shd w:val="clear" w:color="auto" w:fill="auto"/>
              </w:rPr>
            </w:pPr>
            <w:r>
              <w:t>this instrument of incorporation, including the Schedule, as amended from time to time;</w:t>
            </w:r>
          </w:p>
        </w:tc>
      </w:tr>
      <w:tr w14:paraId="617B4736" w14:textId="77777777" w:rsidTr="00BF63B6">
        <w:tblPrEx>
          <w:tblW w:w="0" w:type="auto"/>
          <w:tblInd w:w="709" w:type="dxa"/>
          <w:tblLook w:val="04A0"/>
        </w:tblPrEx>
        <w:tc>
          <w:tcPr>
            <w:tcW w:w="2410" w:type="dxa"/>
          </w:tcPr>
          <w:p w:rsidR="00AE7836" w:rsidP="0058226C" w14:paraId="740A07A9" w14:textId="42B8ECAD">
            <w:pPr>
              <w:pStyle w:val="ssNoHeading2"/>
              <w:numPr>
                <w:ilvl w:val="0"/>
                <w:numId w:val="0"/>
              </w:numPr>
              <w:jc w:val="left"/>
              <w:rPr>
                <w:color w:val="auto"/>
                <w:shd w:val="clear" w:color="auto" w:fill="auto"/>
              </w:rPr>
            </w:pPr>
            <w:r>
              <w:rPr>
                <w:spacing w:val="-2"/>
              </w:rPr>
              <w:t>[“</w:t>
            </w:r>
            <w:r>
              <w:rPr>
                <w:spacing w:val="-2"/>
                <w:u w:val="single"/>
              </w:rPr>
              <w:t>Intermediate Holding Vehicle</w:t>
            </w:r>
            <w:r>
              <w:rPr>
                <w:spacing w:val="-2"/>
              </w:rPr>
              <w:t>”</w:t>
            </w:r>
          </w:p>
        </w:tc>
        <w:tc>
          <w:tcPr>
            <w:tcW w:w="6405" w:type="dxa"/>
          </w:tcPr>
          <w:p w:rsidR="00AE7836" w:rsidP="0058226C" w14:paraId="3FD4CAF7" w14:textId="34652A43">
            <w:pPr>
              <w:pStyle w:val="ssNoHeading2"/>
              <w:numPr>
                <w:ilvl w:val="0"/>
                <w:numId w:val="0"/>
              </w:numPr>
              <w:rPr>
                <w:color w:val="auto"/>
                <w:shd w:val="clear" w:color="auto" w:fill="auto"/>
              </w:rPr>
            </w:pPr>
            <w:r>
              <w:t>a company, trust or partnership but not a collective investment scheme, whose purpose is to enable the holding of overseas immovables on behalf of an LTAF such as the Company;]</w:t>
            </w:r>
            <w:r>
              <w:rPr>
                <w:rStyle w:val="EndnoteReference"/>
              </w:rPr>
              <w:endnoteReference w:id="4"/>
            </w:r>
          </w:p>
        </w:tc>
      </w:tr>
      <w:tr w14:paraId="3A58A345" w14:textId="77777777" w:rsidTr="00BF63B6">
        <w:tblPrEx>
          <w:tblW w:w="0" w:type="auto"/>
          <w:tblInd w:w="709" w:type="dxa"/>
          <w:tblLook w:val="04A0"/>
        </w:tblPrEx>
        <w:tc>
          <w:tcPr>
            <w:tcW w:w="2410" w:type="dxa"/>
          </w:tcPr>
          <w:p w:rsidR="00AE7836" w:rsidRPr="00D25CD0" w:rsidP="0058226C" w14:paraId="34D5B895" w14:textId="654AA691">
            <w:pPr>
              <w:pStyle w:val="ssNoHeading2"/>
              <w:numPr>
                <w:ilvl w:val="0"/>
                <w:numId w:val="0"/>
              </w:numPr>
              <w:jc w:val="left"/>
              <w:rPr>
                <w:color w:val="auto"/>
                <w:shd w:val="clear" w:color="auto" w:fill="auto"/>
              </w:rPr>
            </w:pPr>
            <w:r>
              <w:t>“</w:t>
            </w:r>
            <w:r>
              <w:rPr>
                <w:u w:val="single"/>
              </w:rPr>
              <w:t>LTAF</w:t>
            </w:r>
            <w:r>
              <w:t>”</w:t>
            </w:r>
          </w:p>
        </w:tc>
        <w:tc>
          <w:tcPr>
            <w:tcW w:w="6405" w:type="dxa"/>
          </w:tcPr>
          <w:p w:rsidR="00AE7836" w:rsidP="0058226C" w14:paraId="0616F8EF" w14:textId="1945576F">
            <w:pPr>
              <w:pStyle w:val="ssNoHeading2"/>
              <w:numPr>
                <w:ilvl w:val="0"/>
                <w:numId w:val="0"/>
              </w:numPr>
              <w:rPr>
                <w:color w:val="auto"/>
                <w:shd w:val="clear" w:color="auto" w:fill="auto"/>
              </w:rPr>
            </w:pPr>
            <w:r>
              <w:t xml:space="preserve">a ‘long-term asset fund’, being an authorised fund whose authorised fund manager operates, or proposes to operate, it in </w:t>
            </w:r>
            <w:r>
              <w:t>accordance with the rules in Chapter 15 of the COLL Sourcebook;</w:t>
            </w:r>
          </w:p>
        </w:tc>
      </w:tr>
      <w:tr w14:paraId="4393CD3F" w14:textId="77777777" w:rsidTr="00BF63B6">
        <w:tblPrEx>
          <w:tblW w:w="0" w:type="auto"/>
          <w:tblInd w:w="709" w:type="dxa"/>
          <w:tblLook w:val="04A0"/>
        </w:tblPrEx>
        <w:tc>
          <w:tcPr>
            <w:tcW w:w="2410" w:type="dxa"/>
          </w:tcPr>
          <w:p w:rsidR="00AE7836" w:rsidP="0058226C" w14:paraId="49B7C8CF" w14:textId="44651462">
            <w:pPr>
              <w:pStyle w:val="ssNoHeading2"/>
              <w:numPr>
                <w:ilvl w:val="0"/>
                <w:numId w:val="0"/>
              </w:numPr>
              <w:jc w:val="left"/>
              <w:rPr>
                <w:color w:val="auto"/>
                <w:shd w:val="clear" w:color="auto" w:fill="auto"/>
              </w:rPr>
            </w:pPr>
            <w:r>
              <w:t>“</w:t>
            </w:r>
            <w:r>
              <w:rPr>
                <w:u w:val="single"/>
              </w:rPr>
              <w:t>Net Asset Value</w:t>
            </w:r>
            <w:r>
              <w:t>”</w:t>
            </w:r>
          </w:p>
        </w:tc>
        <w:tc>
          <w:tcPr>
            <w:tcW w:w="6405" w:type="dxa"/>
          </w:tcPr>
          <w:p w:rsidR="00AE7836" w:rsidP="0058226C" w14:paraId="2A9F7D39" w14:textId="476792D0">
            <w:pPr>
              <w:pStyle w:val="ssNoHeading2"/>
              <w:numPr>
                <w:ilvl w:val="0"/>
                <w:numId w:val="0"/>
              </w:numPr>
              <w:rPr>
                <w:color w:val="auto"/>
                <w:shd w:val="clear" w:color="auto" w:fill="auto"/>
              </w:rPr>
            </w:pPr>
            <w:r>
              <w:t>the value of the Scheme Property of the Company [(or, where the context requires, such part of the Scheme Property as is attributable to a particular Fund)]</w:t>
            </w:r>
            <w:r>
              <w:rPr>
                <w:vertAlign w:val="superscript"/>
              </w:rPr>
              <w:t>2</w:t>
            </w:r>
            <w:r>
              <w:t xml:space="preserve"> less all the liabilities of the Company [(or such liabilities as are attributable to that Fund as the case may be)]</w:t>
            </w:r>
            <w:r>
              <w:rPr>
                <w:vertAlign w:val="superscript"/>
              </w:rPr>
              <w:t>2</w:t>
            </w:r>
            <w:r>
              <w:t xml:space="preserve"> determined in each case in accordance with this Instrument;</w:t>
            </w:r>
          </w:p>
        </w:tc>
      </w:tr>
      <w:tr w14:paraId="0DD85E87" w14:textId="77777777" w:rsidTr="00BF63B6">
        <w:tblPrEx>
          <w:tblW w:w="0" w:type="auto"/>
          <w:tblInd w:w="709" w:type="dxa"/>
          <w:tblLook w:val="04A0"/>
        </w:tblPrEx>
        <w:tc>
          <w:tcPr>
            <w:tcW w:w="2410" w:type="dxa"/>
          </w:tcPr>
          <w:p w:rsidR="00AE7836" w:rsidP="0058226C" w14:paraId="1835C60D" w14:textId="76F6BF78">
            <w:pPr>
              <w:pStyle w:val="ssNoHeading2"/>
              <w:numPr>
                <w:ilvl w:val="0"/>
                <w:numId w:val="0"/>
              </w:numPr>
              <w:jc w:val="left"/>
              <w:rPr>
                <w:color w:val="auto"/>
                <w:shd w:val="clear" w:color="auto" w:fill="auto"/>
              </w:rPr>
            </w:pPr>
            <w:r>
              <w:t>“</w:t>
            </w:r>
            <w:r>
              <w:rPr>
                <w:u w:val="single"/>
              </w:rPr>
              <w:t>OEIC Regulations</w:t>
            </w:r>
            <w:r>
              <w:t>”</w:t>
            </w:r>
          </w:p>
        </w:tc>
        <w:tc>
          <w:tcPr>
            <w:tcW w:w="6405" w:type="dxa"/>
          </w:tcPr>
          <w:p w:rsidR="00AE7836" w:rsidP="0058226C" w14:paraId="61FBA43B" w14:textId="1F3D2E96">
            <w:pPr>
              <w:pStyle w:val="ssNoHeading2"/>
              <w:numPr>
                <w:ilvl w:val="0"/>
                <w:numId w:val="0"/>
              </w:numPr>
              <w:rPr>
                <w:color w:val="auto"/>
                <w:shd w:val="clear" w:color="auto" w:fill="auto"/>
              </w:rPr>
            </w:pPr>
            <w:r>
              <w:t>the Open-Ended Investment Companies Regulations 2001 (SI 2001/1228);</w:t>
            </w:r>
            <w:r>
              <w:rPr>
                <w:rStyle w:val="EndnoteReference"/>
              </w:rPr>
              <w:endnoteReference w:id="5"/>
            </w:r>
          </w:p>
        </w:tc>
      </w:tr>
      <w:tr w14:paraId="49ACDA4D" w14:textId="77777777" w:rsidTr="00BF63B6">
        <w:tblPrEx>
          <w:tblW w:w="0" w:type="auto"/>
          <w:tblInd w:w="709" w:type="dxa"/>
          <w:tblLook w:val="04A0"/>
        </w:tblPrEx>
        <w:tc>
          <w:tcPr>
            <w:tcW w:w="2410" w:type="dxa"/>
          </w:tcPr>
          <w:p w:rsidR="00BF63B6" w:rsidP="0058226C" w14:paraId="40AF1485" w14:textId="1103338C">
            <w:pPr>
              <w:pStyle w:val="ssNoHeading2"/>
              <w:numPr>
                <w:ilvl w:val="0"/>
                <w:numId w:val="0"/>
              </w:numPr>
              <w:jc w:val="left"/>
              <w:rPr>
                <w:color w:val="auto"/>
                <w:shd w:val="clear" w:color="auto" w:fill="auto"/>
              </w:rPr>
            </w:pPr>
            <w:r>
              <w:t>“</w:t>
            </w:r>
            <w:r>
              <w:rPr>
                <w:u w:val="single"/>
              </w:rPr>
              <w:t>Prospectus</w:t>
            </w:r>
            <w:r>
              <w:t>”</w:t>
            </w:r>
          </w:p>
        </w:tc>
        <w:tc>
          <w:tcPr>
            <w:tcW w:w="6405" w:type="dxa"/>
          </w:tcPr>
          <w:p w:rsidR="00BF63B6" w:rsidP="0058226C" w14:paraId="17B303FE" w14:textId="0619BAFB">
            <w:pPr>
              <w:pStyle w:val="Definitions"/>
              <w:numPr>
                <w:ilvl w:val="0"/>
                <w:numId w:val="0"/>
              </w:numPr>
              <w:rPr>
                <w:color w:val="auto"/>
                <w:shd w:val="clear" w:color="auto" w:fill="auto"/>
              </w:rPr>
            </w:pPr>
            <w:r>
              <w:t>the prospectus of the Company from time to time;</w:t>
            </w:r>
          </w:p>
        </w:tc>
      </w:tr>
      <w:tr w14:paraId="09E9A023" w14:textId="77777777" w:rsidTr="00BF63B6">
        <w:tblPrEx>
          <w:tblW w:w="0" w:type="auto"/>
          <w:tblInd w:w="709" w:type="dxa"/>
          <w:tblLook w:val="04A0"/>
        </w:tblPrEx>
        <w:tc>
          <w:tcPr>
            <w:tcW w:w="2410" w:type="dxa"/>
          </w:tcPr>
          <w:p w:rsidR="00BF63B6" w:rsidP="0058226C" w14:paraId="073F8A34" w14:textId="2BD06158">
            <w:pPr>
              <w:pStyle w:val="ssNoHeading2"/>
              <w:numPr>
                <w:ilvl w:val="0"/>
                <w:numId w:val="0"/>
              </w:numPr>
              <w:jc w:val="left"/>
              <w:rPr>
                <w:color w:val="auto"/>
                <w:shd w:val="clear" w:color="auto" w:fill="auto"/>
              </w:rPr>
            </w:pPr>
            <w:r>
              <w:t>“</w:t>
            </w:r>
            <w:r>
              <w:rPr>
                <w:u w:val="single"/>
              </w:rPr>
              <w:t>Register</w:t>
            </w:r>
            <w:r>
              <w:t>”</w:t>
            </w:r>
          </w:p>
        </w:tc>
        <w:tc>
          <w:tcPr>
            <w:tcW w:w="6405" w:type="dxa"/>
          </w:tcPr>
          <w:p w:rsidR="00BF63B6" w:rsidP="0058226C" w14:paraId="2BA59248" w14:textId="2BD7A42E">
            <w:pPr>
              <w:pStyle w:val="ssNoHeading2"/>
              <w:numPr>
                <w:ilvl w:val="0"/>
                <w:numId w:val="0"/>
              </w:numPr>
              <w:rPr>
                <w:color w:val="auto"/>
                <w:shd w:val="clear" w:color="auto" w:fill="auto"/>
              </w:rPr>
            </w:pPr>
            <w:r>
              <w:t>the register of Shareholders kept by or on behalf of the Company pursuant to paragraph 1(1) of Schedule 3 to the OEIC Regulations;</w:t>
            </w:r>
          </w:p>
        </w:tc>
      </w:tr>
      <w:tr w14:paraId="12B3E412" w14:textId="77777777" w:rsidTr="00BF63B6">
        <w:tblPrEx>
          <w:tblW w:w="0" w:type="auto"/>
          <w:tblInd w:w="709" w:type="dxa"/>
          <w:tblLook w:val="04A0"/>
        </w:tblPrEx>
        <w:tc>
          <w:tcPr>
            <w:tcW w:w="2410" w:type="dxa"/>
          </w:tcPr>
          <w:p w:rsidR="00BF63B6" w:rsidP="0058226C" w14:paraId="62B1193B" w14:textId="71159C05">
            <w:pPr>
              <w:pStyle w:val="ssNoHeading2"/>
              <w:numPr>
                <w:ilvl w:val="0"/>
                <w:numId w:val="0"/>
              </w:numPr>
              <w:jc w:val="left"/>
              <w:rPr>
                <w:color w:val="auto"/>
                <w:shd w:val="clear" w:color="auto" w:fill="auto"/>
              </w:rPr>
            </w:pPr>
            <w:r>
              <w:t>“</w:t>
            </w:r>
            <w:r>
              <w:rPr>
                <w:u w:val="single"/>
              </w:rPr>
              <w:t>Regulations</w:t>
            </w:r>
            <w:r>
              <w:t>”</w:t>
            </w:r>
          </w:p>
        </w:tc>
        <w:tc>
          <w:tcPr>
            <w:tcW w:w="6405" w:type="dxa"/>
          </w:tcPr>
          <w:p w:rsidR="00BF63B6" w:rsidP="0058226C" w14:paraId="3F21E751" w14:textId="1B7EEFD7">
            <w:pPr>
              <w:pStyle w:val="ssNoHeading2"/>
              <w:numPr>
                <w:ilvl w:val="0"/>
                <w:numId w:val="0"/>
              </w:numPr>
              <w:rPr>
                <w:color w:val="auto"/>
                <w:shd w:val="clear" w:color="auto" w:fill="auto"/>
              </w:rPr>
            </w:pPr>
            <w:r>
              <w:t>the Act, the OEIC Regulations, the AIFMD Regulations and the FCA Rules;</w:t>
            </w:r>
          </w:p>
        </w:tc>
      </w:tr>
      <w:tr w14:paraId="00710D4E" w14:textId="77777777" w:rsidTr="00BF63B6">
        <w:tblPrEx>
          <w:tblW w:w="0" w:type="auto"/>
          <w:tblInd w:w="709" w:type="dxa"/>
          <w:tblLook w:val="04A0"/>
        </w:tblPrEx>
        <w:tc>
          <w:tcPr>
            <w:tcW w:w="2410" w:type="dxa"/>
          </w:tcPr>
          <w:p w:rsidR="00BF63B6" w:rsidP="0058226C" w14:paraId="3F0AB963" w14:textId="4B7B2172">
            <w:pPr>
              <w:pStyle w:val="ssNoHeading2"/>
              <w:numPr>
                <w:ilvl w:val="0"/>
                <w:numId w:val="0"/>
              </w:numPr>
              <w:jc w:val="left"/>
              <w:rPr>
                <w:color w:val="auto"/>
                <w:shd w:val="clear" w:color="auto" w:fill="auto"/>
              </w:rPr>
            </w:pPr>
            <w:r>
              <w:t>“</w:t>
            </w:r>
            <w:r>
              <w:rPr>
                <w:u w:val="single"/>
              </w:rPr>
              <w:t>Scheme Property</w:t>
            </w:r>
            <w:r>
              <w:t>”</w:t>
            </w:r>
          </w:p>
        </w:tc>
        <w:tc>
          <w:tcPr>
            <w:tcW w:w="6405" w:type="dxa"/>
          </w:tcPr>
          <w:p w:rsidR="00BF63B6" w:rsidP="0058226C" w14:paraId="1976DFB6" w14:textId="1EB5CF1D">
            <w:pPr>
              <w:pStyle w:val="ssNoHeading2"/>
              <w:numPr>
                <w:ilvl w:val="0"/>
                <w:numId w:val="0"/>
              </w:numPr>
              <w:rPr>
                <w:color w:val="auto"/>
                <w:shd w:val="clear" w:color="auto" w:fill="auto"/>
              </w:rPr>
            </w:pPr>
            <w:r>
              <w:t>the property of the Company;</w:t>
            </w:r>
          </w:p>
        </w:tc>
      </w:tr>
      <w:tr w14:paraId="2A6DF1D3" w14:textId="77777777" w:rsidTr="00BF63B6">
        <w:tblPrEx>
          <w:tblW w:w="0" w:type="auto"/>
          <w:tblInd w:w="709" w:type="dxa"/>
          <w:tblLook w:val="04A0"/>
        </w:tblPrEx>
        <w:tc>
          <w:tcPr>
            <w:tcW w:w="2410" w:type="dxa"/>
          </w:tcPr>
          <w:p w:rsidR="00BF63B6" w:rsidP="0058226C" w14:paraId="46F81444" w14:textId="41D77B5B">
            <w:pPr>
              <w:pStyle w:val="ssNoHeading2"/>
              <w:numPr>
                <w:ilvl w:val="0"/>
                <w:numId w:val="0"/>
              </w:numPr>
              <w:jc w:val="left"/>
              <w:rPr>
                <w:color w:val="auto"/>
                <w:shd w:val="clear" w:color="auto" w:fill="auto"/>
              </w:rPr>
            </w:pPr>
            <w:r>
              <w:t>“</w:t>
            </w:r>
            <w:r>
              <w:rPr>
                <w:u w:val="single"/>
              </w:rPr>
              <w:t>Share</w:t>
            </w:r>
            <w:r>
              <w:t>”</w:t>
            </w:r>
          </w:p>
        </w:tc>
        <w:tc>
          <w:tcPr>
            <w:tcW w:w="6405" w:type="dxa"/>
          </w:tcPr>
          <w:p w:rsidR="00BF63B6" w:rsidP="0058226C" w14:paraId="362E548A" w14:textId="79CB9826">
            <w:pPr>
              <w:pStyle w:val="ssNoHeading2"/>
              <w:numPr>
                <w:ilvl w:val="0"/>
                <w:numId w:val="0"/>
              </w:numPr>
              <w:rPr>
                <w:color w:val="auto"/>
                <w:shd w:val="clear" w:color="auto" w:fill="auto"/>
              </w:rPr>
            </w:pPr>
            <w:r>
              <w:t>a larger denomination Share or a small denomination Share (as the context requires) in the Company;</w:t>
            </w:r>
          </w:p>
        </w:tc>
      </w:tr>
      <w:tr w14:paraId="2EDFA8B3" w14:textId="77777777" w:rsidTr="00BF63B6">
        <w:tblPrEx>
          <w:tblW w:w="0" w:type="auto"/>
          <w:tblInd w:w="709" w:type="dxa"/>
          <w:tblLook w:val="04A0"/>
        </w:tblPrEx>
        <w:tc>
          <w:tcPr>
            <w:tcW w:w="2410" w:type="dxa"/>
          </w:tcPr>
          <w:p w:rsidR="00BF63B6" w:rsidP="0058226C" w14:paraId="56E2EE43" w14:textId="44F891A7">
            <w:pPr>
              <w:pStyle w:val="ssNoHeading2"/>
              <w:numPr>
                <w:ilvl w:val="0"/>
                <w:numId w:val="0"/>
              </w:numPr>
              <w:jc w:val="left"/>
              <w:rPr>
                <w:color w:val="auto"/>
                <w:shd w:val="clear" w:color="auto" w:fill="auto"/>
              </w:rPr>
            </w:pPr>
            <w:r>
              <w:t>“</w:t>
            </w:r>
            <w:r w:rsidRPr="00A31F6B">
              <w:rPr>
                <w:u w:val="single"/>
              </w:rPr>
              <w:t>Shareholder</w:t>
            </w:r>
            <w:r>
              <w:t>”</w:t>
            </w:r>
          </w:p>
        </w:tc>
        <w:tc>
          <w:tcPr>
            <w:tcW w:w="6405" w:type="dxa"/>
          </w:tcPr>
          <w:p w:rsidR="00BF63B6" w:rsidP="0058226C" w14:paraId="5ADB6C89" w14:textId="2A366457">
            <w:pPr>
              <w:pStyle w:val="ssNoHeading2"/>
              <w:numPr>
                <w:ilvl w:val="0"/>
                <w:numId w:val="0"/>
              </w:numPr>
              <w:rPr>
                <w:color w:val="auto"/>
                <w:shd w:val="clear" w:color="auto" w:fill="auto"/>
              </w:rPr>
            </w:pPr>
            <w:r w:rsidRPr="002779CB">
              <w:t xml:space="preserve">in relation to a Class at any time </w:t>
            </w:r>
            <w:r>
              <w:t xml:space="preserve">any </w:t>
            </w:r>
            <w:r w:rsidRPr="002779CB">
              <w:t xml:space="preserve">person who is on the </w:t>
            </w:r>
            <w:r>
              <w:t>R</w:t>
            </w:r>
            <w:r w:rsidRPr="002779CB">
              <w:t xml:space="preserve">egister as a </w:t>
            </w:r>
            <w:r>
              <w:t>holder</w:t>
            </w:r>
            <w:r w:rsidRPr="002779CB">
              <w:t xml:space="preserve"> </w:t>
            </w:r>
            <w:r>
              <w:t>of one or more Shares of</w:t>
            </w:r>
            <w:r w:rsidRPr="002779CB">
              <w:t xml:space="preserve"> that Class</w:t>
            </w:r>
            <w:r>
              <w:t>;</w:t>
            </w:r>
          </w:p>
        </w:tc>
      </w:tr>
      <w:tr w14:paraId="135F8DA9" w14:textId="77777777" w:rsidTr="00BF63B6">
        <w:tblPrEx>
          <w:tblW w:w="0" w:type="auto"/>
          <w:tblInd w:w="709" w:type="dxa"/>
          <w:tblLook w:val="04A0"/>
        </w:tblPrEx>
        <w:tc>
          <w:tcPr>
            <w:tcW w:w="2410" w:type="dxa"/>
          </w:tcPr>
          <w:p w:rsidR="00BF63B6" w:rsidP="0058226C" w14:paraId="5557A834" w14:textId="6FB18C77">
            <w:pPr>
              <w:pStyle w:val="ssNoHeading2"/>
              <w:numPr>
                <w:ilvl w:val="0"/>
                <w:numId w:val="0"/>
              </w:numPr>
              <w:jc w:val="left"/>
              <w:rPr>
                <w:color w:val="auto"/>
                <w:shd w:val="clear" w:color="auto" w:fill="auto"/>
              </w:rPr>
            </w:pPr>
            <w:bookmarkStart w:id="4" w:name="_Hlk117870664"/>
            <w:r>
              <w:rPr>
                <w:spacing w:val="-2"/>
              </w:rPr>
              <w:t>[“</w:t>
            </w:r>
            <w:r w:rsidRPr="000470E7">
              <w:rPr>
                <w:spacing w:val="-2"/>
                <w:u w:val="single"/>
              </w:rPr>
              <w:t>Side Pocket Assets</w:t>
            </w:r>
            <w:r>
              <w:rPr>
                <w:spacing w:val="-2"/>
              </w:rPr>
              <w:t>”</w:t>
            </w:r>
          </w:p>
        </w:tc>
        <w:tc>
          <w:tcPr>
            <w:tcW w:w="6405" w:type="dxa"/>
          </w:tcPr>
          <w:p w:rsidR="00BF63B6" w:rsidP="0058226C" w14:paraId="1EDCB02E" w14:textId="14C75D03">
            <w:pPr>
              <w:pStyle w:val="ssNoHeading2"/>
              <w:numPr>
                <w:ilvl w:val="0"/>
                <w:numId w:val="0"/>
              </w:numPr>
              <w:rPr>
                <w:color w:val="auto"/>
                <w:shd w:val="clear" w:color="auto" w:fill="auto"/>
              </w:rPr>
            </w:pPr>
            <w:r w:rsidRPr="00A96AE8">
              <w:rPr>
                <w:spacing w:val="-2"/>
              </w:rPr>
              <w:t>assets and liabilities</w:t>
            </w:r>
            <w:r>
              <w:rPr>
                <w:spacing w:val="-2"/>
              </w:rPr>
              <w:t xml:space="preserve"> of [a Fund/the Company]</w:t>
            </w:r>
            <w:r>
              <w:rPr>
                <w:vertAlign w:val="superscript"/>
              </w:rPr>
              <w:t>2</w:t>
            </w:r>
            <w:r>
              <w:rPr>
                <w:spacing w:val="-2"/>
              </w:rPr>
              <w:t xml:space="preserve"> that are ring-fenced from the other assets attributable to [that Fund/the Company]</w:t>
            </w:r>
            <w:r>
              <w:rPr>
                <w:vertAlign w:val="superscript"/>
              </w:rPr>
              <w:t>2</w:t>
            </w:r>
            <w:r>
              <w:rPr>
                <w:spacing w:val="-2"/>
              </w:rPr>
              <w:t xml:space="preserve"> in accordance with the Prospectus and the Regulations;</w:t>
            </w:r>
          </w:p>
        </w:tc>
      </w:tr>
      <w:tr w14:paraId="49C34357" w14:textId="77777777" w:rsidTr="00BF63B6">
        <w:tblPrEx>
          <w:tblW w:w="0" w:type="auto"/>
          <w:tblInd w:w="709" w:type="dxa"/>
          <w:tblLook w:val="04A0"/>
        </w:tblPrEx>
        <w:tc>
          <w:tcPr>
            <w:tcW w:w="2410" w:type="dxa"/>
          </w:tcPr>
          <w:p w:rsidR="00BF63B6" w:rsidP="0058226C" w14:paraId="53CA41AB" w14:textId="77422F64">
            <w:pPr>
              <w:pStyle w:val="ssNoHeading2"/>
              <w:numPr>
                <w:ilvl w:val="0"/>
                <w:numId w:val="0"/>
              </w:numPr>
              <w:jc w:val="left"/>
              <w:rPr>
                <w:color w:val="auto"/>
                <w:shd w:val="clear" w:color="auto" w:fill="auto"/>
              </w:rPr>
            </w:pPr>
            <w:r>
              <w:rPr>
                <w:spacing w:val="-2"/>
              </w:rPr>
              <w:t>“</w:t>
            </w:r>
            <w:r w:rsidRPr="00207D82">
              <w:rPr>
                <w:spacing w:val="-2"/>
                <w:u w:val="single"/>
              </w:rPr>
              <w:t>Special Investment Class</w:t>
            </w:r>
            <w:r>
              <w:rPr>
                <w:spacing w:val="-2"/>
              </w:rPr>
              <w:t>”</w:t>
            </w:r>
          </w:p>
        </w:tc>
        <w:tc>
          <w:tcPr>
            <w:tcW w:w="6405" w:type="dxa"/>
          </w:tcPr>
          <w:p w:rsidR="00BF63B6" w:rsidP="0058226C" w14:paraId="11461C95" w14:textId="6E34E8E9">
            <w:pPr>
              <w:pStyle w:val="ssNoHeading2"/>
              <w:numPr>
                <w:ilvl w:val="0"/>
                <w:numId w:val="0"/>
              </w:numPr>
              <w:rPr>
                <w:color w:val="auto"/>
                <w:shd w:val="clear" w:color="auto" w:fill="auto"/>
              </w:rPr>
            </w:pPr>
            <w:r>
              <w:rPr>
                <w:spacing w:val="-2"/>
              </w:rPr>
              <w:t xml:space="preserve">has the meaning set out in Clause </w:t>
            </w:r>
            <w:r>
              <w:rPr>
                <w:spacing w:val="-2"/>
              </w:rPr>
              <w:fldChar w:fldCharType="begin"/>
            </w:r>
            <w:r>
              <w:rPr>
                <w:spacing w:val="-2"/>
              </w:rPr>
              <w:instrText xml:space="preserve"> REF _Ref95062926 \r \h  \* MERGEFORMAT </w:instrText>
            </w:r>
            <w:r>
              <w:rPr>
                <w:spacing w:val="-2"/>
              </w:rPr>
              <w:fldChar w:fldCharType="separate"/>
            </w:r>
            <w:r w:rsidR="0011178A">
              <w:rPr>
                <w:spacing w:val="-2"/>
                <w:cs/>
              </w:rPr>
              <w:t>‎</w:t>
            </w:r>
            <w:r w:rsidR="0011178A">
              <w:rPr>
                <w:spacing w:val="-2"/>
              </w:rPr>
              <w:t>13.1</w:t>
            </w:r>
            <w:r>
              <w:rPr>
                <w:spacing w:val="-2"/>
              </w:rPr>
              <w:fldChar w:fldCharType="end"/>
            </w:r>
            <w:r>
              <w:rPr>
                <w:spacing w:val="-2"/>
              </w:rPr>
              <w:t>;</w:t>
            </w:r>
          </w:p>
        </w:tc>
      </w:tr>
      <w:tr w14:paraId="48A92035" w14:textId="77777777" w:rsidTr="00BF63B6">
        <w:tblPrEx>
          <w:tblW w:w="0" w:type="auto"/>
          <w:tblInd w:w="709" w:type="dxa"/>
          <w:tblLook w:val="04A0"/>
        </w:tblPrEx>
        <w:tc>
          <w:tcPr>
            <w:tcW w:w="2410" w:type="dxa"/>
          </w:tcPr>
          <w:p w:rsidR="00BF63B6" w:rsidP="0058226C" w14:paraId="62FB37D2" w14:textId="75008BDA">
            <w:pPr>
              <w:pStyle w:val="ssNoHeading2"/>
              <w:numPr>
                <w:ilvl w:val="0"/>
                <w:numId w:val="0"/>
              </w:numPr>
              <w:jc w:val="left"/>
              <w:rPr>
                <w:color w:val="auto"/>
                <w:shd w:val="clear" w:color="auto" w:fill="auto"/>
              </w:rPr>
            </w:pPr>
            <w:r>
              <w:rPr>
                <w:spacing w:val="-2"/>
              </w:rPr>
              <w:t>“</w:t>
            </w:r>
            <w:r w:rsidRPr="00207D82">
              <w:rPr>
                <w:spacing w:val="-2"/>
                <w:u w:val="single"/>
              </w:rPr>
              <w:t xml:space="preserve">Special Investment </w:t>
            </w:r>
            <w:r>
              <w:rPr>
                <w:spacing w:val="-2"/>
                <w:u w:val="single"/>
              </w:rPr>
              <w:t>Shares</w:t>
            </w:r>
            <w:r>
              <w:rPr>
                <w:spacing w:val="-2"/>
              </w:rPr>
              <w:t>”</w:t>
            </w:r>
          </w:p>
        </w:tc>
        <w:tc>
          <w:tcPr>
            <w:tcW w:w="6405" w:type="dxa"/>
          </w:tcPr>
          <w:p w:rsidR="00BF63B6" w:rsidP="0058226C" w14:paraId="5A995D9C" w14:textId="45ED0E8C">
            <w:pPr>
              <w:pStyle w:val="ssNoHeading2"/>
              <w:numPr>
                <w:ilvl w:val="0"/>
                <w:numId w:val="0"/>
              </w:numPr>
              <w:rPr>
                <w:color w:val="auto"/>
                <w:shd w:val="clear" w:color="auto" w:fill="auto"/>
              </w:rPr>
            </w:pPr>
            <w:r>
              <w:rPr>
                <w:spacing w:val="-2"/>
              </w:rPr>
              <w:t xml:space="preserve">has the meaning set out in Clause </w:t>
            </w:r>
            <w:r>
              <w:rPr>
                <w:spacing w:val="-2"/>
              </w:rPr>
              <w:fldChar w:fldCharType="begin"/>
            </w:r>
            <w:r>
              <w:rPr>
                <w:spacing w:val="-2"/>
              </w:rPr>
              <w:instrText xml:space="preserve"> REF _Ref95062926 \r \h  \* MERGEFORMAT </w:instrText>
            </w:r>
            <w:r>
              <w:rPr>
                <w:spacing w:val="-2"/>
              </w:rPr>
              <w:fldChar w:fldCharType="separate"/>
            </w:r>
            <w:r w:rsidR="0011178A">
              <w:rPr>
                <w:spacing w:val="-2"/>
                <w:cs/>
              </w:rPr>
              <w:t>‎</w:t>
            </w:r>
            <w:r w:rsidR="0011178A">
              <w:rPr>
                <w:spacing w:val="-2"/>
              </w:rPr>
              <w:t>13.1</w:t>
            </w:r>
            <w:r>
              <w:rPr>
                <w:spacing w:val="-2"/>
              </w:rPr>
              <w:fldChar w:fldCharType="end"/>
            </w:r>
            <w:r>
              <w:rPr>
                <w:spacing w:val="-2"/>
              </w:rPr>
              <w:t>;]</w:t>
            </w:r>
            <w:r>
              <w:rPr>
                <w:rStyle w:val="EndnoteReference"/>
                <w:spacing w:val="-2"/>
              </w:rPr>
              <w:endnoteReference w:id="6"/>
            </w:r>
            <w:r>
              <w:rPr>
                <w:spacing w:val="-2"/>
              </w:rPr>
              <w:t xml:space="preserve"> and</w:t>
            </w:r>
          </w:p>
        </w:tc>
      </w:tr>
      <w:tr w14:paraId="445DA2D1" w14:textId="77777777" w:rsidTr="00BF63B6">
        <w:tblPrEx>
          <w:tblW w:w="0" w:type="auto"/>
          <w:tblInd w:w="709" w:type="dxa"/>
          <w:tblLook w:val="04A0"/>
        </w:tblPrEx>
        <w:tc>
          <w:tcPr>
            <w:tcW w:w="2410" w:type="dxa"/>
          </w:tcPr>
          <w:p w:rsidR="00BF63B6" w:rsidP="0058226C" w14:paraId="1B4578BC" w14:textId="61AE7C4F">
            <w:pPr>
              <w:pStyle w:val="ssNoHeading2"/>
              <w:numPr>
                <w:ilvl w:val="0"/>
                <w:numId w:val="0"/>
              </w:numPr>
              <w:jc w:val="left"/>
              <w:rPr>
                <w:color w:val="auto"/>
                <w:shd w:val="clear" w:color="auto" w:fill="auto"/>
              </w:rPr>
            </w:pPr>
            <w:bookmarkEnd w:id="4"/>
            <w:r>
              <w:t>“</w:t>
            </w:r>
            <w:r>
              <w:rPr>
                <w:u w:val="single"/>
              </w:rPr>
              <w:t>UK AIFMD Regulations</w:t>
            </w:r>
            <w:r>
              <w:t>”</w:t>
            </w:r>
          </w:p>
        </w:tc>
        <w:tc>
          <w:tcPr>
            <w:tcW w:w="6405" w:type="dxa"/>
          </w:tcPr>
          <w:p w:rsidR="00BF63B6" w:rsidP="0058226C" w14:paraId="533571DA" w14:textId="264E1357">
            <w:pPr>
              <w:pStyle w:val="ssNoHeading2"/>
              <w:numPr>
                <w:ilvl w:val="0"/>
                <w:numId w:val="0"/>
              </w:numPr>
              <w:rPr>
                <w:color w:val="auto"/>
                <w:shd w:val="clear" w:color="auto" w:fill="auto"/>
              </w:rPr>
            </w:pPr>
            <w:r>
              <w:t>the Alternative Investment Fund Managers Regulations 2013.</w:t>
            </w:r>
          </w:p>
        </w:tc>
      </w:tr>
    </w:tbl>
    <w:p w:rsidR="004B2147" w:rsidP="00D25CD0" w14:paraId="051C8B03" w14:textId="77777777">
      <w:pPr>
        <w:pStyle w:val="ssNoHeading2"/>
        <w:spacing w:before="240"/>
        <w:rPr>
          <w:color w:val="auto"/>
          <w:shd w:val="clear" w:color="auto" w:fill="auto"/>
        </w:rPr>
      </w:pPr>
      <w:r>
        <w:t>Any reference in this Instrument to any statute, statutory provision or regulation shall be construed as including a reference to any modification, amendment, extension, replacement or re</w:t>
      </w:r>
      <w:r>
        <w:noBreakHyphen/>
        <w:t>enactment thereof for the time being in force.</w:t>
      </w:r>
    </w:p>
    <w:p w:rsidR="004B2147" w:rsidP="000141F7" w14:paraId="330DAC9C" w14:textId="0B8F6351">
      <w:pPr>
        <w:pStyle w:val="ssNoHeading2"/>
        <w:rPr>
          <w:color w:val="auto"/>
          <w:shd w:val="clear" w:color="auto" w:fill="auto"/>
        </w:rPr>
      </w:pPr>
      <w:r>
        <w:t>In this Instrument, words denoting the singular shall include the plural and vice versa.</w:t>
      </w:r>
      <w:r w:rsidR="000F6F38">
        <w:t xml:space="preserve"> </w:t>
      </w:r>
      <w:r>
        <w:t>Words denoting one gender only shall include all genders. Words denoting persons shall include companies or associations or unincorporated bodies of persons.</w:t>
      </w:r>
    </w:p>
    <w:p w:rsidR="004B2147" w:rsidP="00BF63B6" w14:paraId="2EA3B131" w14:textId="72372AF9">
      <w:pPr>
        <w:pStyle w:val="ssNoHeading2"/>
        <w:keepNext/>
        <w:keepLines/>
        <w:rPr>
          <w:color w:val="auto"/>
          <w:shd w:val="clear" w:color="auto" w:fill="auto"/>
        </w:rPr>
      </w:pPr>
      <w:bookmarkStart w:id="5" w:name="_Hlk117863839"/>
      <w:r>
        <w:t>Any reference in this Instrument to “in writing” shall include printed, lithographic, photographic, telex, facsimile, electronic mail and any other form of communication (or partly in one such form and partly in another) except where the context specifically requires otherwise.</w:t>
      </w:r>
      <w:r w:rsidR="000F6F38">
        <w:t xml:space="preserve"> </w:t>
      </w:r>
      <w:r>
        <w:t xml:space="preserve">The word “signed” shall be construed so as to include signed by way of a signature or representation of a signature affixed by photographic, electronic or mechanical means or any other electronic evidence it was sent except where the context specifically otherwise requires. </w:t>
      </w:r>
    </w:p>
    <w:p w:rsidR="004B2147" w:rsidP="000141F7" w14:paraId="58D17A71" w14:textId="7152D723">
      <w:pPr>
        <w:pStyle w:val="ssNoHeading2"/>
        <w:rPr>
          <w:color w:val="auto"/>
          <w:shd w:val="clear" w:color="auto" w:fill="auto"/>
        </w:rPr>
      </w:pPr>
      <w:bookmarkEnd w:id="5"/>
      <w:r>
        <w:t xml:space="preserve">The word “company” shall (unless the contrary intention is expressed) mean a body corporate including a company within the meaning of the FCA Handbook. </w:t>
      </w:r>
    </w:p>
    <w:p w:rsidR="004B2147" w:rsidP="000141F7" w14:paraId="7753327D" w14:textId="3522A1EC">
      <w:pPr>
        <w:pStyle w:val="ssNoHeading2"/>
        <w:rPr>
          <w:color w:val="auto"/>
          <w:shd w:val="clear" w:color="auto" w:fill="auto"/>
        </w:rPr>
      </w:pPr>
      <w:r>
        <w:t>[Any reference in this Instrument to shares being issued “in respect of” or “relating to” a Fund shall be construed as a reference to Shares issued by the Company which give the holder thereof rights (as provided for in the Regulations and this Instrument) for the time being to participate in that part of the Scheme Property comprising the Fund in question</w:t>
      </w:r>
      <w:r>
        <w:rPr>
          <w:w w:val="0"/>
        </w:rPr>
        <w:t xml:space="preserve"> and the entitlement </w:t>
      </w:r>
      <w:r>
        <w:t xml:space="preserve">(as provided for in the Regulations and this Instrument) </w:t>
      </w:r>
      <w:r>
        <w:rPr>
          <w:w w:val="0"/>
        </w:rPr>
        <w:t>to exchange those rights for rights to participate in that part of the Scheme Property comprising any other Fund of the Company (save to the extent that the provisions of the Prospectus limit the issue of units in any such other Fund)]</w:t>
      </w:r>
      <w:r w:rsidR="00AD5133">
        <w:rPr>
          <w:vertAlign w:val="superscript"/>
        </w:rPr>
        <w:t>2</w:t>
      </w:r>
      <w:r>
        <w:t>.</w:t>
      </w:r>
    </w:p>
    <w:p w:rsidR="004B2147" w:rsidP="000141F7" w14:paraId="4DC4E5C3" w14:textId="77777777">
      <w:pPr>
        <w:pStyle w:val="ssNoHeading2"/>
        <w:rPr>
          <w:color w:val="auto"/>
          <w:shd w:val="clear" w:color="auto" w:fill="auto"/>
        </w:rPr>
      </w:pPr>
      <w:r>
        <w:t>The headings and the footnotes used in this Instrument are for convenience only, do not form part of, and shall not affect the construction of, this Instrument.</w:t>
      </w:r>
    </w:p>
    <w:p w:rsidR="004B2147" w:rsidP="000141F7" w14:paraId="15AF4987" w14:textId="2E1B77B2">
      <w:pPr>
        <w:pStyle w:val="ssNoHeading2"/>
        <w:rPr>
          <w:color w:val="auto"/>
          <w:shd w:val="clear" w:color="auto" w:fill="auto"/>
        </w:rPr>
      </w:pPr>
      <w:r>
        <w:t>Any reference in this Instrument to clause numbers shall (unless the contrary intention is expressed) be construed as a reference to clauses of this Instrument.</w:t>
      </w:r>
    </w:p>
    <w:p w:rsidR="004B2147" w:rsidP="000141F7" w14:paraId="00A471CD" w14:textId="77777777">
      <w:pPr>
        <w:pStyle w:val="Heading1"/>
        <w:rPr>
          <w:color w:val="auto"/>
          <w:shd w:val="clear" w:color="auto" w:fill="auto"/>
        </w:rPr>
      </w:pPr>
      <w:bookmarkStart w:id="6" w:name="_Toc80522049"/>
      <w:bookmarkStart w:id="7" w:name="_Toc119942026"/>
      <w:r>
        <w:t>Constitution</w:t>
      </w:r>
      <w:r>
        <w:rPr>
          <w:rStyle w:val="EndnoteReference"/>
          <w:b w:val="0"/>
          <w:bCs w:val="0"/>
          <w:u w:val="none"/>
        </w:rPr>
        <w:endnoteReference w:id="7"/>
      </w:r>
      <w:bookmarkEnd w:id="6"/>
      <w:bookmarkEnd w:id="7"/>
      <w:r w:rsidRPr="00D92C68">
        <w:rPr>
          <w:b w:val="0"/>
          <w:bCs w:val="0"/>
          <w:u w:val="none"/>
        </w:rPr>
        <w:t xml:space="preserve"> </w:t>
      </w:r>
    </w:p>
    <w:p w:rsidR="004B2147" w:rsidP="00397EBA" w14:paraId="3FAE69F7" w14:textId="77777777">
      <w:pPr>
        <w:pStyle w:val="ssNoHeading2"/>
        <w:rPr>
          <w:color w:val="auto"/>
          <w:shd w:val="clear" w:color="auto" w:fill="auto"/>
        </w:rPr>
      </w:pPr>
      <w:r>
        <w:t>The head office of the Company is situated in [England and Wales].</w:t>
      </w:r>
    </w:p>
    <w:p w:rsidR="004B2147" w:rsidP="00397EBA" w14:paraId="2123EDD1" w14:textId="77777777">
      <w:pPr>
        <w:pStyle w:val="ssNoHeading2"/>
        <w:rPr>
          <w:color w:val="auto"/>
          <w:shd w:val="clear" w:color="auto" w:fill="auto"/>
        </w:rPr>
      </w:pPr>
      <w:r>
        <w:t>The Company is an open-ended investment company with variable share capital.</w:t>
      </w:r>
    </w:p>
    <w:p w:rsidR="004B2147" w:rsidP="00397EBA" w14:paraId="7A673BFF" w14:textId="0B8800F5">
      <w:pPr>
        <w:pStyle w:val="ssNoHeading2"/>
        <w:rPr>
          <w:color w:val="auto"/>
          <w:shd w:val="clear" w:color="auto" w:fill="auto"/>
        </w:rPr>
      </w:pPr>
      <w:r>
        <w:t>[The assets of a Fund of the Company belong exclusively to that Fund and shall not be used to discharge directly or indirectly the liabilities of, or claims against, any other person or body, including the Company, or any other Fund, and shall not be available for any such purpose.]</w:t>
      </w:r>
      <w:r w:rsidR="00AD5133">
        <w:rPr>
          <w:vertAlign w:val="superscript"/>
        </w:rPr>
        <w:t>2</w:t>
      </w:r>
    </w:p>
    <w:p w:rsidR="004B2147" w:rsidP="00397EBA" w14:paraId="65759401" w14:textId="5EE7444F">
      <w:pPr>
        <w:pStyle w:val="ssNoHeading2"/>
        <w:rPr>
          <w:color w:val="auto"/>
          <w:shd w:val="clear" w:color="auto" w:fill="auto"/>
        </w:rPr>
      </w:pPr>
      <w:bookmarkStart w:id="8" w:name="_Ref95174604"/>
      <w:bookmarkStart w:id="9" w:name="_Ref102939963"/>
      <w:r>
        <w:t>The Shareholders are not liable for the debts of the Company</w:t>
      </w:r>
      <w:r w:rsidRPr="004D7772">
        <w:t>.</w:t>
      </w:r>
      <w:r w:rsidRPr="004D7772" w:rsidR="000F6F38">
        <w:t xml:space="preserve"> </w:t>
      </w:r>
      <w:r w:rsidRPr="004D7772">
        <w:t>A Shareholder is not liable to make any further payment</w:t>
      </w:r>
      <w:r w:rsidR="00924B2F">
        <w:t xml:space="preserve"> in relation to a Share</w:t>
      </w:r>
      <w:r w:rsidRPr="004D7772">
        <w:t xml:space="preserve"> after they have paid the price of </w:t>
      </w:r>
      <w:r w:rsidR="00924B2F">
        <w:t>that Share</w:t>
      </w:r>
      <w:r w:rsidRPr="004D7772">
        <w:t xml:space="preserve"> and no further liability can be imposed on them in respect of the Shares which they hold</w:t>
      </w:r>
      <w:r w:rsidRPr="004D7772">
        <w:rPr>
          <w:bCs w:val="0"/>
        </w:rPr>
        <w:t>.</w:t>
      </w:r>
      <w:bookmarkEnd w:id="8"/>
      <w:bookmarkEnd w:id="9"/>
    </w:p>
    <w:p w:rsidR="004B2147" w:rsidP="00397EBA" w14:paraId="6ABBD9A1" w14:textId="664939FF">
      <w:pPr>
        <w:pStyle w:val="ssNoHeading2"/>
        <w:rPr>
          <w:color w:val="auto"/>
          <w:shd w:val="clear" w:color="auto" w:fill="auto"/>
        </w:rPr>
      </w:pPr>
      <w:r>
        <w:t>The Scheme Property is entrusted to a Depositary for safekeeping (in accordance with and subject to any exceptions permitted by the FCA Rules).</w:t>
      </w:r>
    </w:p>
    <w:p w:rsidR="004B2147" w:rsidP="00397EBA" w14:paraId="4398EB93" w14:textId="24DA4B42">
      <w:pPr>
        <w:pStyle w:val="ssNoHeading2"/>
        <w:rPr>
          <w:color w:val="auto"/>
          <w:shd w:val="clear" w:color="auto" w:fill="auto"/>
        </w:rPr>
      </w:pPr>
      <w:r>
        <w:t>Charges or expenses of the Company may be taken out of the Scheme Property as provided for in the Prospectus</w:t>
      </w:r>
      <w:r>
        <w:rPr>
          <w:rStyle w:val="EndnoteReference"/>
        </w:rPr>
        <w:endnoteReference w:id="8"/>
      </w:r>
      <w:r w:rsidRPr="00835D68">
        <w:rPr>
          <w:bCs w:val="0"/>
        </w:rPr>
        <w:t>.</w:t>
      </w:r>
    </w:p>
    <w:p w:rsidR="004B2147" w:rsidP="00397EBA" w14:paraId="5C924A6E" w14:textId="3F4BA6CF">
      <w:pPr>
        <w:pStyle w:val="Heading1"/>
        <w:rPr>
          <w:color w:val="auto"/>
          <w:shd w:val="clear" w:color="auto" w:fill="auto"/>
        </w:rPr>
      </w:pPr>
      <w:bookmarkStart w:id="10" w:name="_Toc80522050"/>
      <w:bookmarkStart w:id="11" w:name="_Toc119942027"/>
      <w:r>
        <w:t>Name</w:t>
      </w:r>
      <w:r>
        <w:rPr>
          <w:rStyle w:val="EndnoteReference"/>
          <w:b w:val="0"/>
          <w:bCs w:val="0"/>
          <w:u w:val="none"/>
        </w:rPr>
        <w:endnoteReference w:id="9"/>
      </w:r>
      <w:bookmarkEnd w:id="10"/>
      <w:bookmarkEnd w:id="11"/>
    </w:p>
    <w:p w:rsidR="004B2147" w:rsidP="00397EBA" w14:paraId="733E4A9B" w14:textId="52471DC7">
      <w:pPr>
        <w:pStyle w:val="ssPara1"/>
        <w:rPr>
          <w:color w:val="auto"/>
          <w:shd w:val="clear" w:color="auto" w:fill="auto"/>
        </w:rPr>
      </w:pPr>
      <w:r>
        <w:t>The name of the Company is [        ]</w:t>
      </w:r>
      <w:r w:rsidR="00A869A9">
        <w:t>[Long-Term Asset Fund</w:t>
      </w:r>
      <w:r w:rsidR="004D7772">
        <w:t xml:space="preserve"> / </w:t>
      </w:r>
      <w:r w:rsidR="00A869A9">
        <w:t>LTAF]</w:t>
      </w:r>
      <w:r>
        <w:t>.</w:t>
      </w:r>
      <w:r w:rsidRPr="00BB18D0">
        <w:rPr>
          <w:rStyle w:val="EndnoteReference"/>
        </w:rPr>
        <w:t xml:space="preserve"> </w:t>
      </w:r>
      <w:r>
        <w:rPr>
          <w:rStyle w:val="EndnoteReference"/>
        </w:rPr>
        <w:endnoteReference w:id="10"/>
      </w:r>
    </w:p>
    <w:p w:rsidR="004B2147" w:rsidP="000141F7" w14:paraId="37C104AF" w14:textId="0EAEFC38">
      <w:pPr>
        <w:pStyle w:val="Heading1"/>
        <w:rPr>
          <w:color w:val="auto"/>
          <w:shd w:val="clear" w:color="auto" w:fill="auto"/>
        </w:rPr>
      </w:pPr>
      <w:bookmarkStart w:id="12" w:name="_Toc80522051"/>
      <w:bookmarkStart w:id="13" w:name="_Ref95656400"/>
      <w:bookmarkStart w:id="14" w:name="_Toc119942028"/>
      <w:r>
        <w:t>Duration of the Company</w:t>
      </w:r>
      <w:r>
        <w:rPr>
          <w:rStyle w:val="EndnoteReference"/>
          <w:b w:val="0"/>
          <w:bCs w:val="0"/>
          <w:u w:val="none"/>
        </w:rPr>
        <w:endnoteReference w:id="11"/>
      </w:r>
      <w:bookmarkEnd w:id="12"/>
      <w:bookmarkEnd w:id="13"/>
      <w:bookmarkEnd w:id="14"/>
    </w:p>
    <w:p w:rsidR="004B2147" w:rsidP="00397EBA" w14:paraId="02DD8877" w14:textId="1D9F6A2A">
      <w:pPr>
        <w:pStyle w:val="ssPara1"/>
        <w:rPr>
          <w:color w:val="auto"/>
          <w:shd w:val="clear" w:color="auto" w:fill="auto"/>
        </w:rPr>
      </w:pPr>
      <w:r>
        <w:t>[The Company is to be wound up after the expiry of [</w:t>
      </w:r>
      <w:r w:rsidRPr="008E2E16">
        <w:rPr>
          <w:i/>
          <w:iCs/>
        </w:rPr>
        <w:t>insert period of time</w:t>
      </w:r>
      <w:r>
        <w:t>.]</w:t>
      </w:r>
      <w:r w:rsidR="00730F7D">
        <w:t xml:space="preserve"> </w:t>
      </w:r>
      <w:r>
        <w:t>[The Company shall continue in existence until wound up in accordance with the FCA Rules.]</w:t>
      </w:r>
    </w:p>
    <w:p w:rsidR="004B2147" w:rsidP="00D57A80" w14:paraId="07C8FD5F" w14:textId="77777777">
      <w:pPr>
        <w:pStyle w:val="Heading1"/>
        <w:rPr>
          <w:color w:val="auto"/>
          <w:shd w:val="clear" w:color="auto" w:fill="auto"/>
        </w:rPr>
      </w:pPr>
      <w:bookmarkStart w:id="15" w:name="_Toc119942029"/>
      <w:r>
        <w:t>Designated Person</w:t>
      </w:r>
      <w:bookmarkEnd w:id="15"/>
    </w:p>
    <w:p w:rsidR="004B2147" w:rsidP="00D57A80" w14:paraId="44ACEB92" w14:textId="0558B6EC">
      <w:pPr>
        <w:pStyle w:val="ssPara2"/>
        <w:rPr>
          <w:color w:val="auto"/>
          <w:shd w:val="clear" w:color="auto" w:fill="auto"/>
        </w:rPr>
      </w:pPr>
      <w:r>
        <w:t>The person designated for the purposes of paragraph 4 of Schedule 4 to the OEIC Regulations shall be the person who is for the time being the ACD of the Company.</w:t>
      </w:r>
    </w:p>
    <w:p w:rsidR="004B2147" w:rsidP="00D57A80" w14:paraId="4A3A081E" w14:textId="2AC8C5F3">
      <w:pPr>
        <w:pStyle w:val="Heading1"/>
        <w:rPr>
          <w:color w:val="auto"/>
          <w:shd w:val="clear" w:color="auto" w:fill="auto"/>
        </w:rPr>
      </w:pPr>
      <w:bookmarkStart w:id="16" w:name="_Toc119942030"/>
      <w:bookmarkStart w:id="17" w:name="_Toc80522052"/>
      <w:bookmarkStart w:id="18" w:name="_Ref92236647"/>
      <w:r>
        <w:t>Powers of ACD and Depositary</w:t>
      </w:r>
      <w:r>
        <w:rPr>
          <w:rStyle w:val="EndnoteReference"/>
          <w:b w:val="0"/>
          <w:bCs w:val="0"/>
          <w:u w:val="none"/>
        </w:rPr>
        <w:endnoteReference w:id="12"/>
      </w:r>
      <w:bookmarkEnd w:id="16"/>
    </w:p>
    <w:p w:rsidR="004B2147" w:rsidP="00362433" w14:paraId="2AD4FD7A" w14:textId="0CF303CF">
      <w:pPr>
        <w:pStyle w:val="ssNoHeading2"/>
        <w:numPr>
          <w:ilvl w:val="0"/>
          <w:numId w:val="0"/>
        </w:numPr>
        <w:ind w:left="709"/>
        <w:rPr>
          <w:color w:val="auto"/>
          <w:shd w:val="clear" w:color="auto" w:fill="auto"/>
        </w:rPr>
      </w:pPr>
      <w:r>
        <w:t>If, and to the extent, that the Regulations permit (or would permit if this Instrument contained the appropriate authority or imposed the relevant duty) the doing or omission of any act or thing in relation to the Company (including exercising any powers of delegation), it is hereby declared that the ACD and the Depositary (as appropriate) shall have express power under this Instrument to do or omit to do any such act or thing in accordance with the Regulations as if this Instrument contained the appropriate authority or imposed the relevant duty.</w:t>
      </w:r>
    </w:p>
    <w:p w:rsidR="004B2147" w:rsidP="00D57A80" w14:paraId="38D62A81" w14:textId="4CE69714">
      <w:pPr>
        <w:pStyle w:val="Heading1"/>
        <w:rPr>
          <w:color w:val="auto"/>
          <w:shd w:val="clear" w:color="auto" w:fill="auto"/>
        </w:rPr>
      </w:pPr>
      <w:bookmarkStart w:id="19" w:name="_Toc119942031"/>
      <w:r>
        <w:t>Object</w:t>
      </w:r>
      <w:bookmarkEnd w:id="17"/>
      <w:bookmarkEnd w:id="18"/>
      <w:bookmarkEnd w:id="19"/>
    </w:p>
    <w:p w:rsidR="004B2147" w:rsidP="00934D3C" w14:paraId="5D93014F" w14:textId="25551608">
      <w:pPr>
        <w:pStyle w:val="ssPara1"/>
        <w:numPr>
          <w:ilvl w:val="0"/>
          <w:numId w:val="0"/>
        </w:numPr>
        <w:ind w:left="709"/>
        <w:rPr>
          <w:color w:val="auto"/>
          <w:shd w:val="clear" w:color="auto" w:fill="auto"/>
        </w:rPr>
      </w:pPr>
      <w:r>
        <w:t xml:space="preserve">The object of the Company is to invest the Scheme Property </w:t>
      </w:r>
      <w:r w:rsidRPr="00167DF9" w:rsidR="00F36BD3">
        <w:t xml:space="preserve">in </w:t>
      </w:r>
      <w:r w:rsidR="00F36BD3">
        <w:t xml:space="preserve">deposits, electronic money, contracts of insurance, shares, debentures, government and public securities, warrants, certificates representing certain securities, units in collective investment schemes, rights in AIFs, stakeholder and personal pension schemes, options, futures, contracts for differences, underwriting or membership of Lloyd’s syndicates, rights or interests to any of the aforementioned investments; interests in loan, interests in land or buildings (‘immovables’), precious metals (gold, silver or platinum) and commodity contracts, </w:t>
      </w:r>
      <w:r w:rsidRPr="00397375" w:rsidR="00F36BD3">
        <w:rPr>
          <w:rFonts w:eastAsia="Times New Roman"/>
        </w:rPr>
        <w:t xml:space="preserve">each </w:t>
      </w:r>
      <w:r w:rsidRPr="00167DF9" w:rsidR="00F36BD3">
        <w:t xml:space="preserve">in accordance with the FCA Rules applicable to the </w:t>
      </w:r>
      <w:r w:rsidR="00F36BD3">
        <w:t>Company</w:t>
      </w:r>
      <w:r w:rsidRPr="00167DF9" w:rsidR="00F36BD3">
        <w:t xml:space="preserve"> and the investment approach and restrictions applicable to </w:t>
      </w:r>
      <w:r w:rsidR="00F36BD3">
        <w:t xml:space="preserve">[the Company / </w:t>
      </w:r>
      <w:r w:rsidRPr="00167DF9" w:rsidR="00F36BD3">
        <w:t>each Fund</w:t>
      </w:r>
      <w:r w:rsidR="00F36BD3">
        <w:t>]</w:t>
      </w:r>
      <w:r w:rsidR="00F36BD3">
        <w:rPr>
          <w:vertAlign w:val="superscript"/>
        </w:rPr>
        <w:t>2</w:t>
      </w:r>
      <w:r w:rsidRPr="00167DF9" w:rsidR="00F36BD3">
        <w:t xml:space="preserve"> as set out in the Prospectus</w:t>
      </w:r>
      <w:r w:rsidR="00F36BD3">
        <w:t xml:space="preserve">, </w:t>
      </w:r>
      <w:r>
        <w:t>with the aim of spreading investment risk</w:t>
      </w:r>
      <w:r>
        <w:rPr>
          <w:rStyle w:val="EndnoteReference"/>
        </w:rPr>
        <w:endnoteReference w:id="13"/>
      </w:r>
      <w:r>
        <w:t xml:space="preserve">. </w:t>
      </w:r>
    </w:p>
    <w:p w:rsidR="004B2147" w:rsidP="000141F7" w14:paraId="6BA6127B" w14:textId="3F0EBB50">
      <w:pPr>
        <w:pStyle w:val="Heading1"/>
        <w:rPr>
          <w:color w:val="auto"/>
          <w:shd w:val="clear" w:color="auto" w:fill="auto"/>
        </w:rPr>
      </w:pPr>
      <w:bookmarkStart w:id="20" w:name="_Toc80522053"/>
      <w:bookmarkStart w:id="21" w:name="_Ref92231688"/>
      <w:bookmarkStart w:id="22" w:name="_Ref92231691"/>
      <w:bookmarkStart w:id="23" w:name="_Toc119942032"/>
      <w:r>
        <w:t>Type of Company</w:t>
      </w:r>
      <w:bookmarkEnd w:id="20"/>
      <w:bookmarkEnd w:id="21"/>
      <w:bookmarkEnd w:id="22"/>
      <w:r w:rsidR="00924B2F">
        <w:t xml:space="preserve"> and Regulatory Designations</w:t>
      </w:r>
      <w:bookmarkEnd w:id="23"/>
    </w:p>
    <w:p w:rsidR="004B2147" w:rsidP="00AC1E42" w14:paraId="435BF9E9" w14:textId="06F4FDA5">
      <w:pPr>
        <w:pStyle w:val="ssNoHeading2"/>
        <w:rPr>
          <w:color w:val="auto"/>
          <w:shd w:val="clear" w:color="auto" w:fill="auto"/>
        </w:rPr>
      </w:pPr>
      <w:r>
        <w:t xml:space="preserve">The Company is </w:t>
      </w:r>
      <w:r w:rsidRPr="00DE5875">
        <w:t>an LTAF</w:t>
      </w:r>
      <w:r>
        <w:t xml:space="preserve"> for the purposes of the </w:t>
      </w:r>
      <w:r w:rsidRPr="00DE5875">
        <w:t>FCA</w:t>
      </w:r>
      <w:r>
        <w:t xml:space="preserve"> Rules </w:t>
      </w:r>
      <w:r w:rsidRPr="00DE5875">
        <w:t>[and also an umbrella company for the purposes of the OEIC Regulations</w:t>
      </w:r>
      <w:r w:rsidR="00730F7D">
        <w:t>]</w:t>
      </w:r>
      <w:r w:rsidR="00AD5133">
        <w:rPr>
          <w:vertAlign w:val="superscript"/>
        </w:rPr>
        <w:t>2</w:t>
      </w:r>
      <w:r>
        <w:t>.</w:t>
      </w:r>
    </w:p>
    <w:p w:rsidR="004B2147" w:rsidP="00AC1E42" w14:paraId="0B70BDE0" w14:textId="0DCA985C">
      <w:pPr>
        <w:pStyle w:val="ssNoHeading2"/>
        <w:rPr>
          <w:color w:val="auto"/>
          <w:shd w:val="clear" w:color="auto" w:fill="auto"/>
        </w:rPr>
      </w:pPr>
      <w:r>
        <w:t>The Company is an AIF for the purposes of the AIFMD Regulations.</w:t>
      </w:r>
      <w:r w:rsidR="000F6F38">
        <w:t xml:space="preserve"> </w:t>
      </w:r>
      <w:r>
        <w:t>The ACD is the AIFM of the Company for the purposes of the AIFMD Regulations.</w:t>
      </w:r>
    </w:p>
    <w:p w:rsidR="004B2147" w:rsidRPr="0041716A" w:rsidP="0041716A" w14:paraId="256B5DFB" w14:textId="49608174">
      <w:pPr>
        <w:pStyle w:val="Heading1"/>
        <w:rPr>
          <w:color w:val="auto"/>
          <w:shd w:val="clear" w:color="auto" w:fill="auto"/>
        </w:rPr>
      </w:pPr>
      <w:bookmarkStart w:id="24" w:name="_Ref517525200"/>
      <w:bookmarkStart w:id="25" w:name="_Toc80522057"/>
      <w:bookmarkStart w:id="26" w:name="_Toc73355209"/>
      <w:bookmarkStart w:id="27" w:name="_Toc80522060"/>
      <w:bookmarkStart w:id="28" w:name="_Toc80522061"/>
      <w:bookmarkStart w:id="29" w:name="_Ref95174724"/>
      <w:bookmarkStart w:id="30" w:name="_Ref95656448"/>
      <w:bookmarkStart w:id="31" w:name="_Toc119942033"/>
      <w:bookmarkEnd w:id="24"/>
      <w:bookmarkEnd w:id="25"/>
      <w:bookmarkEnd w:id="26"/>
      <w:bookmarkEnd w:id="27"/>
      <w:r>
        <w:t>[Funds]</w:t>
      </w:r>
      <w:r>
        <w:rPr>
          <w:rStyle w:val="EndnoteReference"/>
          <w:rFonts w:eastAsiaTheme="minorHAnsi" w:cstheme="minorBidi"/>
          <w:b w:val="0"/>
          <w:bCs w:val="0"/>
          <w:kern w:val="0"/>
          <w:szCs w:val="22"/>
          <w:u w:val="none"/>
          <w:lang w:eastAsia="en-US"/>
        </w:rPr>
        <w:endnoteReference w:id="14"/>
      </w:r>
      <w:bookmarkEnd w:id="28"/>
      <w:bookmarkEnd w:id="29"/>
      <w:bookmarkEnd w:id="30"/>
      <w:bookmarkEnd w:id="31"/>
    </w:p>
    <w:p w:rsidR="004B2147" w:rsidP="00D57A80" w14:paraId="230122E1" w14:textId="1E9A0178">
      <w:pPr>
        <w:pStyle w:val="ssNoHeading2"/>
        <w:rPr>
          <w:color w:val="auto"/>
          <w:shd w:val="clear" w:color="auto" w:fill="auto"/>
        </w:rPr>
      </w:pPr>
      <w:r>
        <w:t>[Subject to the FCA Rules, all consideration received for the account of the Company for the issue of Shares in respect of a Fund together with the investments in which such consideration is invested or reinvested, and all income, earnings, profits and proceeds thereof and liabilities and expenses relating thereto shall be pooled and kept separate from all other monies, investments, assets, liabilities and expenses of the Company and the following provisions shall apply to each Fund:</w:t>
      </w:r>
    </w:p>
    <w:p w:rsidR="004B2147" w:rsidP="000141F7" w14:paraId="7DA3CA28" w14:textId="407E9627">
      <w:pPr>
        <w:pStyle w:val="ssNoHeading3"/>
        <w:rPr>
          <w:color w:val="auto"/>
          <w:shd w:val="clear" w:color="auto" w:fill="auto"/>
        </w:rPr>
      </w:pPr>
      <w:r>
        <w:t>the Company shall keep books in which all transactions relating to the relevant Fund shall be separately recorded and the assets and the liabilities, income and expenditure attributable to that Fund shall be applied or charged to such Fund subject to the provisions of this Clause;</w:t>
      </w:r>
    </w:p>
    <w:p w:rsidR="004B2147" w:rsidP="000141F7" w14:paraId="0F8F581F" w14:textId="7C8C31D7">
      <w:pPr>
        <w:pStyle w:val="ssNoHeading3"/>
        <w:rPr>
          <w:color w:val="auto"/>
          <w:shd w:val="clear" w:color="auto" w:fill="auto"/>
        </w:rPr>
      </w:pPr>
      <w:r>
        <w:t>any asset derived from any other asset (whether cash or otherwise) comprised in any Fund shall be applied in the books of the Company to the same Fund as the asset from which it was derived and any increase or diminution in the value of such asset shall be applied to the relevant Fund;</w:t>
      </w:r>
    </w:p>
    <w:p w:rsidR="004B2147" w:rsidP="000141F7" w14:paraId="09344CD8" w14:textId="265F0215">
      <w:pPr>
        <w:pStyle w:val="ssNoHeading3"/>
        <w:rPr>
          <w:color w:val="auto"/>
          <w:shd w:val="clear" w:color="auto" w:fill="auto"/>
        </w:rPr>
      </w:pPr>
      <w:r>
        <w:t xml:space="preserve">each Fund shall be charged with the liabilities, expenses, costs and charges of the Company in respect of or attributable to that Fund; and </w:t>
      </w:r>
    </w:p>
    <w:p w:rsidR="004B2147" w:rsidP="000141F7" w14:paraId="3674BB0F" w14:textId="6E91D8EE">
      <w:pPr>
        <w:pStyle w:val="ssNoHeading3"/>
        <w:rPr>
          <w:color w:val="auto"/>
          <w:shd w:val="clear" w:color="auto" w:fill="auto"/>
        </w:rPr>
      </w:pPr>
      <w:bookmarkStart w:id="32" w:name="_Ref95656515"/>
      <w:r>
        <w:t>any assets, liabilities, expenses, costs or charges not attributable to one Fund may be allocated by the ACD between Funds in accordance with the Regulations and the FCA Rules in a manner which the ACD considers is fair to the Shareholders generally.</w:t>
      </w:r>
      <w:r>
        <w:rPr>
          <w:rStyle w:val="EndnoteReference"/>
        </w:rPr>
        <w:endnoteReference w:id="15"/>
      </w:r>
      <w:bookmarkEnd w:id="32"/>
    </w:p>
    <w:p w:rsidR="004B2147" w14:paraId="3738F7F4" w14:textId="67E65EAE">
      <w:pPr>
        <w:pStyle w:val="ssNoHeading2"/>
        <w:rPr>
          <w:color w:val="auto"/>
          <w:shd w:val="clear" w:color="auto" w:fill="auto"/>
        </w:rPr>
      </w:pPr>
      <w:bookmarkStart w:id="33" w:name="_Ref95656533"/>
      <w:r>
        <w:t>Any Fund shall be terminated subject to and in accordance with the Regulations, by the ACD in its absolute discretion</w:t>
      </w:r>
      <w:r w:rsidR="0043693E">
        <w:t>.</w:t>
      </w:r>
      <w:bookmarkEnd w:id="33"/>
    </w:p>
    <w:p w:rsidR="004B2147" w:rsidP="00D57A80" w14:paraId="76C5E8D7" w14:textId="53FC28B7">
      <w:pPr>
        <w:pStyle w:val="ssNoHeading2"/>
        <w:rPr>
          <w:color w:val="auto"/>
          <w:shd w:val="clear" w:color="auto" w:fill="auto"/>
        </w:rPr>
      </w:pPr>
      <w:bookmarkStart w:id="34" w:name="_Ref95656541"/>
      <w:r>
        <w:t xml:space="preserve">The Funds of the Company for the time being constituted and their respective investment objectives are set out in </w:t>
      </w:r>
      <w:r w:rsidR="00E74FFE">
        <w:t>Part 1</w:t>
      </w:r>
      <w:r>
        <w:t xml:space="preserve"> of the Schedule to this Instrument.</w:t>
      </w:r>
      <w:bookmarkEnd w:id="34"/>
    </w:p>
    <w:p w:rsidR="004B2147" w:rsidRPr="002779CB" w:rsidP="00D57A80" w14:paraId="2475FFFC" w14:textId="2EE1BFDA">
      <w:pPr>
        <w:pStyle w:val="ssNoHeading2"/>
        <w:rPr>
          <w:color w:val="auto"/>
          <w:spacing w:val="-2"/>
          <w:shd w:val="clear" w:color="auto" w:fill="auto"/>
        </w:rPr>
      </w:pPr>
      <w:r>
        <w:t>The ACD may by resolution from time to time create such additional Fund or Funds with such investment objectives and such restrictions as to investment or otherwise, and denominated in such currencies, as the ACD shall from time to time determine.</w:t>
      </w:r>
      <w:r w:rsidR="000F6F38">
        <w:t xml:space="preserve"> </w:t>
      </w:r>
      <w:r>
        <w:t xml:space="preserve">On creation of any such Fund or Funds a new </w:t>
      </w:r>
      <w:r w:rsidR="00E74FFE">
        <w:t>Part 1</w:t>
      </w:r>
      <w:r>
        <w:t xml:space="preserve"> of the Schedule to this Instrument including the specified details of the new Fund or Funds (as well as those of the other extant Funds) shall be substituted for the previous one and shall form part of this Instrument to the exclusion of the previous one.]</w:t>
      </w:r>
    </w:p>
    <w:p w:rsidR="004B2147" w14:paraId="5DEA35AB" w14:textId="77777777">
      <w:pPr>
        <w:pStyle w:val="Heading1"/>
        <w:rPr>
          <w:color w:val="auto"/>
          <w:spacing w:val="-2"/>
          <w:shd w:val="clear" w:color="auto" w:fill="auto"/>
        </w:rPr>
      </w:pPr>
      <w:bookmarkStart w:id="35" w:name="_Toc119942034"/>
      <w:r>
        <w:t>Base Currency</w:t>
      </w:r>
      <w:r>
        <w:rPr>
          <w:rStyle w:val="EndnoteReference"/>
          <w:b w:val="0"/>
          <w:bCs w:val="0"/>
          <w:u w:val="none"/>
        </w:rPr>
        <w:endnoteReference w:id="16"/>
      </w:r>
      <w:bookmarkEnd w:id="35"/>
    </w:p>
    <w:p w:rsidR="004B2147" w:rsidP="00E17779" w14:paraId="7D19DA20" w14:textId="2A32D0F5">
      <w:pPr>
        <w:pStyle w:val="ssNoHeading2"/>
        <w:numPr>
          <w:ilvl w:val="0"/>
          <w:numId w:val="0"/>
        </w:numPr>
        <w:ind w:left="709"/>
        <w:rPr>
          <w:color w:val="auto"/>
          <w:spacing w:val="-2"/>
          <w:shd w:val="clear" w:color="auto" w:fill="auto"/>
        </w:rPr>
      </w:pPr>
      <w:r>
        <w:t>The Base Currency of the Company is [Pounds Sterling] or such other currency or currencies as may be the lawful currency of [the United Kingdom] from time to time.</w:t>
      </w:r>
    </w:p>
    <w:p w:rsidR="004B2147" w:rsidP="00D57A80" w14:paraId="63D20B3D" w14:textId="77777777">
      <w:pPr>
        <w:pStyle w:val="Heading1"/>
        <w:rPr>
          <w:color w:val="auto"/>
          <w:spacing w:val="-2"/>
          <w:shd w:val="clear" w:color="auto" w:fill="auto"/>
        </w:rPr>
      </w:pPr>
      <w:bookmarkStart w:id="36" w:name="_Toc119942035"/>
      <w:r>
        <w:t>Share Capital</w:t>
      </w:r>
      <w:bookmarkEnd w:id="36"/>
    </w:p>
    <w:p w:rsidR="004B2147" w:rsidP="00D57A80" w14:paraId="0C0608B1" w14:textId="77777777">
      <w:pPr>
        <w:pStyle w:val="ssNoHeading2"/>
        <w:rPr>
          <w:color w:val="auto"/>
          <w:spacing w:val="-2"/>
          <w:shd w:val="clear" w:color="auto" w:fill="auto"/>
        </w:rPr>
      </w:pPr>
      <w:r>
        <w:t>The capital of the Company shall be represented by Shares of no par value and shall at all times be equal to the Net Asset Value of the Company in Base Currency.</w:t>
      </w:r>
    </w:p>
    <w:p w:rsidR="004B2147" w:rsidP="00D57A80" w14:paraId="5E88267F" w14:textId="77777777">
      <w:pPr>
        <w:pStyle w:val="ssNoHeading2"/>
        <w:rPr>
          <w:color w:val="auto"/>
          <w:spacing w:val="-2"/>
          <w:shd w:val="clear" w:color="auto" w:fill="auto"/>
        </w:rPr>
      </w:pPr>
      <w:r>
        <w:t>The minimum capital of the Company shall be [One Pound (£1)] and the maximum capital shall be [●] [Pounds ([£][●])].</w:t>
      </w:r>
      <w:r>
        <w:rPr>
          <w:rStyle w:val="EndnoteReference"/>
        </w:rPr>
        <w:endnoteReference w:id="17"/>
      </w:r>
    </w:p>
    <w:p w:rsidR="004B2147" w:rsidRPr="000A6744" w:rsidP="00D57A80" w14:paraId="2839B8D2" w14:textId="2C3EB5A0">
      <w:pPr>
        <w:pStyle w:val="Heading1"/>
        <w:rPr>
          <w:color w:val="auto"/>
          <w:spacing w:val="-2"/>
          <w:shd w:val="clear" w:color="auto" w:fill="auto"/>
        </w:rPr>
      </w:pPr>
      <w:bookmarkStart w:id="37" w:name="_Ref94906430"/>
      <w:bookmarkStart w:id="38" w:name="_Toc119942036"/>
      <w:r w:rsidRPr="003E4D96">
        <w:t>Classes of Share</w:t>
      </w:r>
      <w:bookmarkEnd w:id="37"/>
      <w:r w:rsidRPr="003E4D96">
        <w:t xml:space="preserve"> and Preferential Treatment</w:t>
      </w:r>
      <w:bookmarkEnd w:id="38"/>
    </w:p>
    <w:p w:rsidR="004B2147" w:rsidRPr="000A6744" w:rsidP="00D57A80" w14:paraId="49740C3B" w14:textId="307E2D0B">
      <w:pPr>
        <w:pStyle w:val="ssNoHeading2"/>
        <w:rPr>
          <w:color w:val="auto"/>
          <w:spacing w:val="-2"/>
          <w:shd w:val="clear" w:color="auto" w:fill="auto"/>
        </w:rPr>
      </w:pPr>
      <w:r w:rsidRPr="000A6744">
        <w:t>The Company may from time to time issue Shares of different Classes</w:t>
      </w:r>
      <w:r w:rsidRPr="003E4D96">
        <w:t xml:space="preserve">. </w:t>
      </w:r>
      <w:r w:rsidR="00924B2F">
        <w:t>Subject to the Regulations, t</w:t>
      </w:r>
      <w:r w:rsidRPr="003E4D96">
        <w:t xml:space="preserve">he rights attaching to each Class </w:t>
      </w:r>
      <w:r w:rsidR="00924B2F">
        <w:t>may</w:t>
      </w:r>
      <w:r w:rsidRPr="003E4D96" w:rsidR="00924B2F">
        <w:t xml:space="preserve"> </w:t>
      </w:r>
      <w:r w:rsidRPr="003E4D96">
        <w:t>differ</w:t>
      </w:r>
      <w:r w:rsidR="00924B2F">
        <w:t xml:space="preserve"> among other things</w:t>
      </w:r>
      <w:r w:rsidRPr="003E4D96">
        <w:t xml:space="preserve"> in terms of</w:t>
      </w:r>
      <w:r w:rsidR="00924B2F">
        <w:t xml:space="preserve"> redemption frequency, subscription frequency,</w:t>
      </w:r>
      <w:r w:rsidRPr="003E4D96">
        <w:t xml:space="preserve"> charging structures and minimum investment holdings and</w:t>
      </w:r>
      <w:r w:rsidR="00924B2F">
        <w:t>,</w:t>
      </w:r>
      <w:r w:rsidRPr="003E4D96">
        <w:t xml:space="preserve"> in each case</w:t>
      </w:r>
      <w:r w:rsidR="00DE0416">
        <w:t>,</w:t>
      </w:r>
      <w:r w:rsidRPr="003E4D96">
        <w:t xml:space="preserve"> may comprise Income Shares or Accumulation Shares as set out in this Instrument, the Prospectus and the Regulations.</w:t>
      </w:r>
      <w:r w:rsidRPr="000A6744" w:rsidR="003E4D96">
        <w:t xml:space="preserve"> The rights attached to a Class shall not be varied except with the sanction of an extraordinary resolution passed at a Class [or Fund]</w:t>
      </w:r>
      <w:r w:rsidR="00AD5133">
        <w:rPr>
          <w:vertAlign w:val="superscript"/>
        </w:rPr>
        <w:t>2</w:t>
      </w:r>
      <w:r w:rsidRPr="000A6744" w:rsidR="003E4D96">
        <w:t xml:space="preserve"> meeting of the holders concerned.</w:t>
      </w:r>
    </w:p>
    <w:p w:rsidR="009E5211" w:rsidP="009E5211" w14:paraId="7ECAEAC0" w14:textId="77777777">
      <w:pPr>
        <w:pStyle w:val="ssNoHeading2"/>
        <w:rPr>
          <w:color w:val="auto"/>
          <w:spacing w:val="-2"/>
          <w:shd w:val="clear" w:color="auto" w:fill="auto"/>
        </w:rPr>
      </w:pPr>
      <w:bookmarkStart w:id="39" w:name="_Ref92242657"/>
      <w:r>
        <w:t>For the avoidance of doubt, the rights attaching to a Class shall (unless otherwise expressly provided by the conditions of issue of such Shares) be deemed not to be varied by:</w:t>
      </w:r>
    </w:p>
    <w:p w:rsidR="009E5211" w:rsidP="009E5211" w14:paraId="499CD4EA" w14:textId="77777777">
      <w:pPr>
        <w:pStyle w:val="ssNoHeading3"/>
        <w:rPr>
          <w:color w:val="auto"/>
          <w:spacing w:val="-2"/>
          <w:shd w:val="clear" w:color="auto" w:fill="auto"/>
        </w:rPr>
      </w:pPr>
      <w:r>
        <w:t xml:space="preserve">the creation, allotment or issue of further Shares of any Class ranking </w:t>
      </w:r>
      <w:r>
        <w:t>pari</w:t>
      </w:r>
      <w:r>
        <w:t xml:space="preserve"> passu therewith;</w:t>
      </w:r>
    </w:p>
    <w:p w:rsidR="009E5211" w:rsidP="009E5211" w14:paraId="20A1027B" w14:textId="77777777">
      <w:pPr>
        <w:pStyle w:val="ssNoHeading3"/>
        <w:rPr>
          <w:color w:val="auto"/>
          <w:spacing w:val="-2"/>
          <w:shd w:val="clear" w:color="auto" w:fill="auto"/>
        </w:rPr>
      </w:pPr>
      <w:r>
        <w:t xml:space="preserve">the exchange of Shares of any Class into Shares of another Class </w:t>
      </w:r>
      <w:bookmarkStart w:id="40" w:name="_Hlk117864072"/>
      <w:r>
        <w:t>[(whether or not the Classes are issued in respect of different Funds)]</w:t>
      </w:r>
      <w:r>
        <w:rPr>
          <w:vertAlign w:val="superscript"/>
        </w:rPr>
        <w:t>2</w:t>
      </w:r>
      <w:bookmarkEnd w:id="40"/>
      <w:r>
        <w:t>;</w:t>
      </w:r>
    </w:p>
    <w:p w:rsidR="009E5211" w:rsidP="009E5211" w14:paraId="5BE8EA9E" w14:textId="77777777">
      <w:pPr>
        <w:pStyle w:val="ssNoHeading3"/>
        <w:rPr>
          <w:color w:val="auto"/>
          <w:spacing w:val="-2"/>
          <w:shd w:val="clear" w:color="auto" w:fill="auto"/>
        </w:rPr>
      </w:pPr>
      <w:r>
        <w:t>the creation, allotment, issue or redemption of Shares of another Class [within the same Fund]</w:t>
      </w:r>
      <w:r>
        <w:rPr>
          <w:vertAlign w:val="superscript"/>
        </w:rPr>
        <w:t>2</w:t>
      </w:r>
      <w:r>
        <w:t>, provided the rights of any Class are not unfairly prejudicial as against the interests of the Shareholders of any other Class of Shares in [the Company/the Fund]</w:t>
      </w:r>
      <w:r>
        <w:rPr>
          <w:vertAlign w:val="superscript"/>
        </w:rPr>
        <w:t>2</w:t>
      </w:r>
      <w:r>
        <w:t>;</w:t>
      </w:r>
    </w:p>
    <w:p w:rsidR="009E5211" w:rsidP="009E5211" w14:paraId="117DA99C" w14:textId="77777777">
      <w:pPr>
        <w:pStyle w:val="ssNoHeading3"/>
        <w:rPr>
          <w:color w:val="auto"/>
          <w:spacing w:val="-2"/>
          <w:shd w:val="clear" w:color="auto" w:fill="auto"/>
        </w:rPr>
      </w:pPr>
      <w:r>
        <w:t>[the creation, allotment, issue or redemption of Shares of another Fund;]</w:t>
      </w:r>
      <w:r>
        <w:rPr>
          <w:vertAlign w:val="superscript"/>
        </w:rPr>
        <w:t>2</w:t>
      </w:r>
    </w:p>
    <w:p w:rsidR="009E5211" w:rsidP="009E5211" w14:paraId="1CE082F7" w14:textId="113379E3">
      <w:pPr>
        <w:pStyle w:val="ssNoHeading3"/>
        <w:rPr>
          <w:color w:val="auto"/>
          <w:spacing w:val="-2"/>
          <w:shd w:val="clear" w:color="auto" w:fill="auto"/>
        </w:rPr>
      </w:pPr>
      <w:r>
        <w:t xml:space="preserve">the exercise by the ACD of its powers under Clauses </w:t>
      </w:r>
      <w:r>
        <w:rPr>
          <w:cs/>
        </w:rPr>
        <w:t>‎</w:t>
      </w:r>
      <w:r>
        <w:fldChar w:fldCharType="begin"/>
      </w:r>
      <w:r>
        <w:instrText xml:space="preserve"> REF _Ref95656515 \w \h </w:instrText>
      </w:r>
      <w:r>
        <w:fldChar w:fldCharType="separate"/>
      </w:r>
      <w:r w:rsidR="0011178A">
        <w:rPr>
          <w:cs/>
        </w:rPr>
        <w:t>‎</w:t>
      </w:r>
      <w:r w:rsidR="0011178A">
        <w:t>9.1(D)</w:t>
      </w:r>
      <w:r>
        <w:fldChar w:fldCharType="end"/>
      </w:r>
      <w:r>
        <w:t xml:space="preserve">, </w:t>
      </w:r>
      <w:r>
        <w:rPr>
          <w:cs/>
        </w:rPr>
        <w:fldChar w:fldCharType="begin"/>
      </w:r>
      <w:r>
        <w:instrText xml:space="preserve"> REF _Ref95656533 \r \h </w:instrText>
      </w:r>
      <w:r>
        <w:rPr>
          <w:cs/>
        </w:rPr>
        <w:fldChar w:fldCharType="separate"/>
      </w:r>
      <w:r w:rsidR="0011178A">
        <w:rPr>
          <w:cs/>
        </w:rPr>
        <w:t>‎</w:t>
      </w:r>
      <w:r w:rsidR="0011178A">
        <w:t>9.2</w:t>
      </w:r>
      <w:r>
        <w:rPr>
          <w:cs/>
        </w:rPr>
        <w:fldChar w:fldCharType="end"/>
      </w:r>
      <w:r>
        <w:t xml:space="preserve"> and </w:t>
      </w:r>
      <w:r>
        <w:rPr>
          <w:cs/>
        </w:rPr>
        <w:fldChar w:fldCharType="begin"/>
      </w:r>
      <w:r>
        <w:instrText xml:space="preserve"> REF _Ref95656541 \r \h </w:instrText>
      </w:r>
      <w:r>
        <w:rPr>
          <w:cs/>
        </w:rPr>
        <w:fldChar w:fldCharType="separate"/>
      </w:r>
      <w:r w:rsidR="0011178A">
        <w:rPr>
          <w:cs/>
        </w:rPr>
        <w:t>‎</w:t>
      </w:r>
      <w:r w:rsidR="0011178A">
        <w:t>9.3</w:t>
      </w:r>
      <w:r>
        <w:rPr>
          <w:cs/>
        </w:rPr>
        <w:fldChar w:fldCharType="end"/>
      </w:r>
      <w:r>
        <w:t>[; or</w:t>
      </w:r>
    </w:p>
    <w:p w:rsidR="009E5211" w:rsidRPr="00ED1CA5" w:rsidP="00ED1CA5" w14:paraId="015D9933" w14:textId="49957358">
      <w:pPr>
        <w:pStyle w:val="ssNoHeading3"/>
        <w:rPr>
          <w:color w:val="auto"/>
          <w:spacing w:val="-2"/>
          <w:shd w:val="clear" w:color="auto" w:fill="auto"/>
        </w:rPr>
      </w:pPr>
      <w:r>
        <w:t>the passing of any resolution at a meeting of holders of Shares [of a particular Class] in another Fund which does not relate to the Fund in which the Class is interested]</w:t>
      </w:r>
      <w:r>
        <w:rPr>
          <w:vertAlign w:val="superscript"/>
        </w:rPr>
        <w:t>2</w:t>
      </w:r>
      <w:r>
        <w:t>.</w:t>
      </w:r>
    </w:p>
    <w:p w:rsidR="004B2147" w:rsidRPr="003E4D96" w:rsidP="00D57A80" w14:paraId="04061944" w14:textId="33E1BDEF">
      <w:pPr>
        <w:pStyle w:val="ssNoHeading2"/>
        <w:rPr>
          <w:color w:val="auto"/>
          <w:spacing w:val="-2"/>
          <w:shd w:val="clear" w:color="auto" w:fill="auto"/>
        </w:rPr>
      </w:pPr>
      <w:r w:rsidRPr="00F41938">
        <w:t xml:space="preserve">[The Classes which may </w:t>
      </w:r>
      <w:r w:rsidRPr="00F41938" w:rsidR="003D49F6">
        <w:t>present</w:t>
      </w:r>
      <w:r w:rsidR="003D49F6">
        <w:t>ly</w:t>
      </w:r>
      <w:r w:rsidRPr="00F41938" w:rsidR="003D49F6">
        <w:t xml:space="preserve"> </w:t>
      </w:r>
      <w:r w:rsidRPr="00F41938">
        <w:t>be issued [in respect of each Fund]</w:t>
      </w:r>
      <w:r w:rsidR="00AD5133">
        <w:rPr>
          <w:vertAlign w:val="superscript"/>
        </w:rPr>
        <w:t>2</w:t>
      </w:r>
      <w:r w:rsidRPr="003E4D96">
        <w:t xml:space="preserve"> </w:t>
      </w:r>
      <w:r w:rsidRPr="003E4D96">
        <w:t>are</w:t>
      </w:r>
      <w:r w:rsidRPr="003E4D96">
        <w:t>:</w:t>
      </w:r>
      <w:bookmarkEnd w:id="39"/>
    </w:p>
    <w:p w:rsidR="004B2147" w:rsidRPr="000A6744" w:rsidP="00D57A80" w14:paraId="7903F368" w14:textId="1A3010F4">
      <w:pPr>
        <w:pStyle w:val="ssNoHeading3"/>
        <w:rPr>
          <w:color w:val="auto"/>
          <w:spacing w:val="-2"/>
          <w:shd w:val="clear" w:color="auto" w:fill="auto"/>
        </w:rPr>
      </w:pPr>
      <w:r w:rsidRPr="000A6744">
        <w:t>Accumulation Shares;</w:t>
      </w:r>
    </w:p>
    <w:p w:rsidR="004B2147" w:rsidRPr="000A6744" w:rsidP="00D57A80" w14:paraId="279DD558" w14:textId="49957DCF">
      <w:pPr>
        <w:pStyle w:val="ssNoHeading3"/>
        <w:rPr>
          <w:color w:val="auto"/>
          <w:spacing w:val="-2"/>
          <w:shd w:val="clear" w:color="auto" w:fill="auto"/>
        </w:rPr>
      </w:pPr>
      <w:r w:rsidRPr="000A6744">
        <w:t>Income Shares;</w:t>
      </w:r>
    </w:p>
    <w:p w:rsidR="004B2147" w:rsidRPr="000A6744" w:rsidP="00D57A80" w14:paraId="0279E1BC" w14:textId="423F4D0F">
      <w:pPr>
        <w:pStyle w:val="ssNoHeading3"/>
        <w:rPr>
          <w:color w:val="auto"/>
          <w:spacing w:val="-2"/>
          <w:shd w:val="clear" w:color="auto" w:fill="auto"/>
        </w:rPr>
      </w:pPr>
      <w:r w:rsidRPr="000A6744">
        <w:t>limited issue Accumulation Shares;</w:t>
      </w:r>
    </w:p>
    <w:p w:rsidR="004B2147" w:rsidRPr="003E4D96" w:rsidP="00D57A80" w14:paraId="18D59D00" w14:textId="77777777">
      <w:pPr>
        <w:pStyle w:val="ssNoHeading3"/>
        <w:rPr>
          <w:color w:val="auto"/>
          <w:spacing w:val="-2"/>
          <w:shd w:val="clear" w:color="auto" w:fill="auto"/>
        </w:rPr>
      </w:pPr>
      <w:r w:rsidRPr="000A6744">
        <w:t>limited issue Income Shares,]</w:t>
      </w:r>
      <w:r>
        <w:rPr>
          <w:rStyle w:val="EndnoteReference"/>
        </w:rPr>
        <w:endnoteReference w:id="18"/>
      </w:r>
    </w:p>
    <w:p w:rsidR="004B2147" w:rsidRPr="00F41938" w:rsidP="00D57A80" w14:paraId="55F4C937" w14:textId="1DD82A84">
      <w:pPr>
        <w:pStyle w:val="ssPara2"/>
        <w:rPr>
          <w:color w:val="auto"/>
          <w:spacing w:val="-2"/>
          <w:shd w:val="clear" w:color="auto" w:fill="auto"/>
        </w:rPr>
      </w:pPr>
      <w:r w:rsidRPr="003E4D96">
        <w:t>and for the avoidance of doubt each of the above may be further classified between Class “A” and “Z” (inclusive and through the use of one or more let</w:t>
      </w:r>
      <w:r w:rsidRPr="000A6744">
        <w:t>ters together or in any sequence but, for the avoidance of doubt, where they do not form a word in the English language) or “Retail” or “Institutional” or “Hedged”</w:t>
      </w:r>
      <w:r w:rsidRPr="000A6744" w:rsidR="003E4D96">
        <w:t xml:space="preserve"> or “Platform”</w:t>
      </w:r>
      <w:r w:rsidRPr="000A6744">
        <w:t xml:space="preserve"> and in upper or lower case or under such other designation as the ACD shall by resolution fr</w:t>
      </w:r>
      <w:r w:rsidRPr="00F41938">
        <w:t>om time to time decide.</w:t>
      </w:r>
      <w:r w:rsidR="000F6F38">
        <w:t xml:space="preserve"> </w:t>
      </w:r>
      <w:r w:rsidRPr="00F41938">
        <w:t>In addition, each of the above may be denominated in currencies other than the Base Currency to form further Classes as the ACD shall by resolution from time to time decide.</w:t>
      </w:r>
      <w:r w:rsidR="000F6F38">
        <w:t xml:space="preserve"> </w:t>
      </w:r>
      <w:r w:rsidRPr="00F41938">
        <w:t>Further requirements including as to being of limited issue, availability, minimum investment and holding levels may also be set out in the Prospectus from time to time.</w:t>
      </w:r>
    </w:p>
    <w:p w:rsidR="004B2147" w:rsidP="00D57A80" w14:paraId="415D645F" w14:textId="4ABD7D22">
      <w:pPr>
        <w:pStyle w:val="ssNoHeading2"/>
        <w:rPr>
          <w:color w:val="auto"/>
          <w:spacing w:val="-2"/>
          <w:shd w:val="clear" w:color="auto" w:fill="auto"/>
        </w:rPr>
      </w:pPr>
      <w:r>
        <w:t>Subject to the Regulations the ACD may by resolution from time to time determine the minimum number or value of Shares of any Class which may be held by any Shareholder.</w:t>
      </w:r>
    </w:p>
    <w:p w:rsidR="004B2147" w:rsidRPr="003E4D96" w:rsidP="00D57A80" w14:paraId="36E078E3" w14:textId="08E3B93D">
      <w:pPr>
        <w:pStyle w:val="ssNoHeading2"/>
        <w:rPr>
          <w:color w:val="auto"/>
          <w:spacing w:val="-2"/>
          <w:shd w:val="clear" w:color="auto" w:fill="auto"/>
        </w:rPr>
      </w:pPr>
      <w:r w:rsidRPr="003E4D96">
        <w:t>The Classes [(in respect of such Funds)]</w:t>
      </w:r>
      <w:r w:rsidR="00AD5133">
        <w:rPr>
          <w:vertAlign w:val="superscript"/>
        </w:rPr>
        <w:t>2</w:t>
      </w:r>
      <w:r w:rsidRPr="003E4D96">
        <w:t xml:space="preserve"> available for issue are those set out in the Prospectus.</w:t>
      </w:r>
    </w:p>
    <w:p w:rsidR="004B2147" w:rsidRPr="003E4D96" w:rsidP="00D57A80" w14:paraId="5C8A7747" w14:textId="2345FDE1">
      <w:pPr>
        <w:pStyle w:val="ssNoHeading2"/>
        <w:rPr>
          <w:color w:val="auto"/>
          <w:spacing w:val="-2"/>
          <w:shd w:val="clear" w:color="auto" w:fill="auto"/>
        </w:rPr>
      </w:pPr>
      <w:bookmarkStart w:id="41" w:name="_Ref95663418"/>
      <w:r w:rsidRPr="003E4D96">
        <w:t>The ACD may by resolution from time to time create Classes [in respect of a Fund]</w:t>
      </w:r>
      <w:r w:rsidR="00AD5133">
        <w:rPr>
          <w:vertAlign w:val="superscript"/>
        </w:rPr>
        <w:t>2</w:t>
      </w:r>
      <w:r w:rsidRPr="003E4D96">
        <w:t xml:space="preserve"> additional to those set out in the Prospectus (whether or not falling within one of the Classes described above).</w:t>
      </w:r>
      <w:bookmarkEnd w:id="41"/>
    </w:p>
    <w:p w:rsidR="004B2147" w:rsidRPr="00D35BAD" w:rsidP="00D57A80" w14:paraId="470EBE54" w14:textId="743B3917">
      <w:pPr>
        <w:pStyle w:val="ssNoHeading2"/>
        <w:rPr>
          <w:color w:val="auto"/>
          <w:spacing w:val="-2"/>
          <w:shd w:val="clear" w:color="auto" w:fill="auto"/>
        </w:rPr>
      </w:pPr>
      <w:r w:rsidRPr="003E4D96">
        <w:t xml:space="preserve">Where a </w:t>
      </w:r>
      <w:r w:rsidR="00A9709E">
        <w:t>C</w:t>
      </w:r>
      <w:r w:rsidRPr="003E4D96" w:rsidR="00A9709E">
        <w:t xml:space="preserve">lass </w:t>
      </w:r>
      <w:r w:rsidRPr="003E4D96">
        <w:t>is denominated in a currency which is not the Base Currency, Shares shall be issued and redeemed and distributions paid on Shares of that Class in accordance with the FCA Rules, in the currency of that Class.</w:t>
      </w:r>
    </w:p>
    <w:p w:rsidR="00D35BAD" w:rsidRPr="003E4D96" w:rsidP="00D35BAD" w14:paraId="1A2EBC99" w14:textId="571235B3">
      <w:pPr>
        <w:pStyle w:val="ssNoHeading2"/>
        <w:rPr>
          <w:color w:val="auto"/>
          <w:spacing w:val="-2"/>
          <w:shd w:val="clear" w:color="auto" w:fill="auto"/>
        </w:rPr>
      </w:pPr>
      <w:r w:rsidRPr="003E4D96">
        <w:t>Votes at meetings of the [Fund/Company]</w:t>
      </w:r>
      <w:r>
        <w:rPr>
          <w:vertAlign w:val="superscript"/>
        </w:rPr>
        <w:t>2</w:t>
      </w:r>
      <w:r w:rsidRPr="003E4D96">
        <w:t xml:space="preserve"> of which the Class forms part shall be determined in accordance with the proportionate interests in the [Fund/Company]</w:t>
      </w:r>
      <w:r>
        <w:rPr>
          <w:vertAlign w:val="superscript"/>
        </w:rPr>
        <w:t>2</w:t>
      </w:r>
      <w:r w:rsidRPr="003E4D96">
        <w:t xml:space="preserve"> ascertained in accordance with </w:t>
      </w:r>
      <w:r w:rsidRPr="003E4D96">
        <w:rPr>
          <w:cs/>
        </w:rPr>
        <w:t>‎</w:t>
      </w:r>
      <w:r w:rsidRPr="003E4D96">
        <w:fldChar w:fldCharType="begin"/>
      </w:r>
      <w:r w:rsidRPr="003E4D96">
        <w:instrText xml:space="preserve"> REF _Ref95175240 \r \h </w:instrText>
      </w:r>
      <w:r>
        <w:rPr>
          <w:highlight w:val="green"/>
        </w:rPr>
        <w:instrText xml:space="preserve"> \* MERGEFORMAT </w:instrText>
      </w:r>
      <w:r w:rsidRPr="003E4D96">
        <w:fldChar w:fldCharType="separate"/>
      </w:r>
      <w:r w:rsidR="0011178A">
        <w:rPr>
          <w:cs/>
        </w:rPr>
        <w:t>‎</w:t>
      </w:r>
      <w:r w:rsidR="0011178A">
        <w:t>Part 3</w:t>
      </w:r>
      <w:r w:rsidRPr="003E4D96">
        <w:fldChar w:fldCharType="end"/>
      </w:r>
      <w:r w:rsidRPr="003E4D96">
        <w:t xml:space="preserve"> of the Schedule and the FCA Rules.</w:t>
      </w:r>
    </w:p>
    <w:p w:rsidR="00D35BAD" w:rsidRPr="003E4D96" w:rsidP="00D35BAD" w14:paraId="0E0608C9" w14:textId="77777777">
      <w:pPr>
        <w:pStyle w:val="ssNoHeading2"/>
        <w:rPr>
          <w:color w:val="auto"/>
          <w:spacing w:val="-2"/>
          <w:shd w:val="clear" w:color="auto" w:fill="auto"/>
        </w:rPr>
      </w:pPr>
      <w:r w:rsidRPr="003E4D96">
        <w:t xml:space="preserve">Where for any purpose not specifically covered by the Regulations or this Instrument it is necessary to convert one currency into another, conversions shall be made at a rate of </w:t>
      </w:r>
      <w:r w:rsidRPr="003E4D96">
        <w:t>exchange decided by the ACD as being a rate that is not likely to result in any material prejudice to the interests of Shareholders or potential investors.</w:t>
      </w:r>
    </w:p>
    <w:p w:rsidR="00D35BAD" w:rsidP="00D35BAD" w14:paraId="188BBA46" w14:textId="77777777">
      <w:pPr>
        <w:pStyle w:val="ssNoHeading2"/>
        <w:rPr>
          <w:color w:val="auto"/>
          <w:spacing w:val="-2"/>
          <w:shd w:val="clear" w:color="auto" w:fill="auto"/>
        </w:rPr>
      </w:pPr>
      <w:bookmarkStart w:id="42" w:name="_Ref115451832"/>
      <w:r>
        <w:t>Subject to the Regulations the ACD may at its discretion grant preferential treatment or the right to obtain preferential treatment to any Shareholder in relation to the terms of their investment in [a Fund/the Company]</w:t>
      </w:r>
      <w:r>
        <w:rPr>
          <w:vertAlign w:val="superscript"/>
        </w:rPr>
        <w:t>2</w:t>
      </w:r>
      <w:r>
        <w:t xml:space="preserve"> by waiver or modification of the terms otherwise applicable to the relevant Shareholder’s investment in the [Fund/Company]</w:t>
      </w:r>
      <w:r>
        <w:rPr>
          <w:vertAlign w:val="superscript"/>
        </w:rPr>
        <w:t>2</w:t>
      </w:r>
      <w:r>
        <w:t xml:space="preserve"> without the consent of any other Shareholder.</w:t>
      </w:r>
      <w:bookmarkEnd w:id="42"/>
    </w:p>
    <w:p w:rsidR="00D35BAD" w:rsidRPr="003E4D96" w:rsidP="00D35BAD" w14:paraId="4403751D" w14:textId="632B7BA2">
      <w:pPr>
        <w:pStyle w:val="Heading1"/>
        <w:rPr>
          <w:color w:val="auto"/>
          <w:spacing w:val="-2"/>
          <w:shd w:val="clear" w:color="auto" w:fill="auto"/>
        </w:rPr>
      </w:pPr>
      <w:bookmarkStart w:id="43" w:name="_Ref102939785"/>
      <w:bookmarkStart w:id="44" w:name="_Toc119942037"/>
      <w:bookmarkStart w:id="45" w:name="_Hlk117864555"/>
      <w:r>
        <w:rPr>
          <w:spacing w:val="-2"/>
        </w:rPr>
        <w:t>[Side pockets]</w:t>
      </w:r>
      <w:bookmarkEnd w:id="43"/>
      <w:r>
        <w:rPr>
          <w:rStyle w:val="EndnoteReference"/>
          <w:spacing w:val="-2"/>
          <w:u w:val="none"/>
        </w:rPr>
        <w:endnoteReference w:id="19"/>
      </w:r>
      <w:bookmarkEnd w:id="44"/>
    </w:p>
    <w:p w:rsidR="00D35BAD" w:rsidP="000470E7" w14:paraId="00E65AF0" w14:textId="1AD52B18">
      <w:pPr>
        <w:pStyle w:val="ssNoHeading2"/>
        <w:rPr>
          <w:color w:val="auto"/>
          <w:spacing w:val="-2"/>
          <w:shd w:val="clear" w:color="auto" w:fill="auto"/>
        </w:rPr>
      </w:pPr>
      <w:bookmarkStart w:id="46" w:name="_Ref95062926"/>
      <w:bookmarkStart w:id="47" w:name="_Ref95067261"/>
      <w:r w:rsidRPr="006F2620">
        <w:rPr>
          <w:spacing w:val="-2"/>
        </w:rPr>
        <w:t xml:space="preserve">[Without prejudice to the generality of Clause </w:t>
      </w:r>
      <w:r w:rsidRPr="006F2620">
        <w:rPr>
          <w:spacing w:val="-2"/>
        </w:rPr>
        <w:fldChar w:fldCharType="begin"/>
      </w:r>
      <w:r w:rsidRPr="006F2620">
        <w:rPr>
          <w:spacing w:val="-2"/>
        </w:rPr>
        <w:instrText xml:space="preserve"> REF _Ref94906430 \r \h </w:instrText>
      </w:r>
      <w:r w:rsidRPr="006F2620" w:rsidR="00AF37CA">
        <w:rPr>
          <w:spacing w:val="-2"/>
        </w:rPr>
        <w:instrText xml:space="preserve"> \* MERGEFORMAT </w:instrText>
      </w:r>
      <w:r w:rsidRPr="006F2620">
        <w:rPr>
          <w:spacing w:val="-2"/>
        </w:rPr>
        <w:fldChar w:fldCharType="separate"/>
      </w:r>
      <w:r w:rsidR="0011178A">
        <w:rPr>
          <w:spacing w:val="-2"/>
          <w:cs/>
        </w:rPr>
        <w:t>‎</w:t>
      </w:r>
      <w:r w:rsidR="0011178A">
        <w:rPr>
          <w:spacing w:val="-2"/>
        </w:rPr>
        <w:t>12</w:t>
      </w:r>
      <w:r w:rsidRPr="006F2620">
        <w:rPr>
          <w:spacing w:val="-2"/>
        </w:rPr>
        <w:fldChar w:fldCharType="end"/>
      </w:r>
      <w:r w:rsidRPr="006F2620">
        <w:rPr>
          <w:spacing w:val="-2"/>
        </w:rPr>
        <w:t xml:space="preserve">, and subject to </w:t>
      </w:r>
      <w:r w:rsidRPr="006F2620" w:rsidR="006F2620">
        <w:rPr>
          <w:spacing w:val="-2"/>
        </w:rPr>
        <w:t xml:space="preserve">the terms of </w:t>
      </w:r>
      <w:r w:rsidRPr="006F2620">
        <w:rPr>
          <w:spacing w:val="-2"/>
        </w:rPr>
        <w:t>this Instrument</w:t>
      </w:r>
      <w:r w:rsidRPr="006F2620" w:rsidR="006F2620">
        <w:rPr>
          <w:spacing w:val="-2"/>
        </w:rPr>
        <w:t xml:space="preserve"> and </w:t>
      </w:r>
      <w:r w:rsidRPr="006F2620">
        <w:rPr>
          <w:spacing w:val="-2"/>
        </w:rPr>
        <w:t xml:space="preserve">the Prospectus and </w:t>
      </w:r>
      <w:r w:rsidRPr="006F2620" w:rsidR="006F2620">
        <w:rPr>
          <w:spacing w:val="-2"/>
        </w:rPr>
        <w:t xml:space="preserve">to </w:t>
      </w:r>
      <w:r w:rsidRPr="006F2620">
        <w:rPr>
          <w:spacing w:val="-2"/>
        </w:rPr>
        <w:t xml:space="preserve">the Regulations, </w:t>
      </w:r>
      <w:r w:rsidRPr="006F2620" w:rsidR="00AB2364">
        <w:rPr>
          <w:spacing w:val="-2"/>
        </w:rPr>
        <w:t>[</w:t>
      </w:r>
      <w:r w:rsidRPr="006F2620">
        <w:rPr>
          <w:spacing w:val="-2"/>
        </w:rPr>
        <w:t xml:space="preserve">where the ACD </w:t>
      </w:r>
      <w:r w:rsidR="00DE0416">
        <w:rPr>
          <w:spacing w:val="-2"/>
        </w:rPr>
        <w:t>considers that it is in the interests of Unitholders</w:t>
      </w:r>
      <w:r w:rsidRPr="006F2620">
        <w:rPr>
          <w:spacing w:val="-2"/>
        </w:rPr>
        <w:t xml:space="preserve"> of </w:t>
      </w:r>
      <w:r w:rsidRPr="006F2620" w:rsidR="006A1733">
        <w:rPr>
          <w:spacing w:val="-2"/>
        </w:rPr>
        <w:t>[</w:t>
      </w:r>
      <w:r w:rsidRPr="006F2620">
        <w:rPr>
          <w:spacing w:val="-2"/>
        </w:rPr>
        <w:t>a Fund</w:t>
      </w:r>
      <w:r w:rsidRPr="006F2620" w:rsidR="006A1733">
        <w:rPr>
          <w:spacing w:val="-2"/>
        </w:rPr>
        <w:t>/the Company</w:t>
      </w:r>
      <w:r w:rsidRPr="006F2620">
        <w:rPr>
          <w:spacing w:val="-2"/>
        </w:rPr>
        <w:t>]</w:t>
      </w:r>
      <w:r w:rsidR="00AD5133">
        <w:rPr>
          <w:vertAlign w:val="superscript"/>
        </w:rPr>
        <w:t>2</w:t>
      </w:r>
      <w:r w:rsidRPr="006F2620">
        <w:rPr>
          <w:spacing w:val="-2"/>
        </w:rPr>
        <w:t xml:space="preserve">, the ACD may at any time and at its discretion] create and issue from time to time a new Class or Classes of </w:t>
      </w:r>
      <w:r w:rsidRPr="006F2620" w:rsidR="00D1794C">
        <w:rPr>
          <w:spacing w:val="-2"/>
        </w:rPr>
        <w:t xml:space="preserve">Shares </w:t>
      </w:r>
      <w:r w:rsidRPr="006F2620">
        <w:rPr>
          <w:spacing w:val="-2"/>
        </w:rPr>
        <w:t>(</w:t>
      </w:r>
      <w:r w:rsidRPr="006F2620" w:rsidR="00F21C5C">
        <w:rPr>
          <w:spacing w:val="-2"/>
        </w:rPr>
        <w:t xml:space="preserve">each a </w:t>
      </w:r>
      <w:r w:rsidRPr="006F2620">
        <w:rPr>
          <w:spacing w:val="-2"/>
        </w:rPr>
        <w:t>“</w:t>
      </w:r>
      <w:r w:rsidRPr="006F2620">
        <w:rPr>
          <w:spacing w:val="-2"/>
          <w:u w:val="single"/>
        </w:rPr>
        <w:t>Special Investment Class</w:t>
      </w:r>
      <w:r w:rsidRPr="006F2620">
        <w:rPr>
          <w:spacing w:val="-2"/>
        </w:rPr>
        <w:t>”) to which Side Pocket Assets shall be allocated</w:t>
      </w:r>
      <w:r w:rsidR="00DE0416">
        <w:rPr>
          <w:spacing w:val="-2"/>
        </w:rPr>
        <w:t xml:space="preserve"> or contributed</w:t>
      </w:r>
      <w:r w:rsidRPr="006F2620">
        <w:rPr>
          <w:spacing w:val="-2"/>
        </w:rPr>
        <w:t xml:space="preserve">. </w:t>
      </w:r>
    </w:p>
    <w:p w:rsidR="00D35BAD" w:rsidP="000470E7" w14:paraId="208135E2" w14:textId="42EE1208">
      <w:pPr>
        <w:pStyle w:val="ssNoHeading2"/>
        <w:rPr>
          <w:color w:val="auto"/>
          <w:spacing w:val="-2"/>
          <w:shd w:val="clear" w:color="auto" w:fill="auto"/>
        </w:rPr>
      </w:pPr>
      <w:bookmarkStart w:id="48" w:name="_Ref102940085"/>
      <w:r w:rsidRPr="006F2620">
        <w:rPr>
          <w:spacing w:val="-2"/>
        </w:rPr>
        <w:t>The creation of Shares in a Special Investment Class (“</w:t>
      </w:r>
      <w:r w:rsidRPr="006F2620">
        <w:rPr>
          <w:spacing w:val="-2"/>
          <w:u w:val="single"/>
        </w:rPr>
        <w:t>Special Investment Shares</w:t>
      </w:r>
      <w:r w:rsidRPr="006F2620">
        <w:rPr>
          <w:spacing w:val="-2"/>
        </w:rPr>
        <w:t>”) will involve the ACD effecting a pro-rata reduction in the number</w:t>
      </w:r>
      <w:r w:rsidR="00C343AA">
        <w:rPr>
          <w:spacing w:val="-2"/>
        </w:rPr>
        <w:t xml:space="preserve"> or value</w:t>
      </w:r>
      <w:r w:rsidRPr="006F2620">
        <w:rPr>
          <w:spacing w:val="-2"/>
        </w:rPr>
        <w:t xml:space="preserve"> of Shares held by a </w:t>
      </w:r>
      <w:r w:rsidRPr="006F2620">
        <w:t>Shareholder</w:t>
      </w:r>
      <w:r w:rsidRPr="006F2620">
        <w:rPr>
          <w:spacing w:val="-2"/>
        </w:rPr>
        <w:t xml:space="preserve"> attributable to the [relevant Fund</w:t>
      </w:r>
      <w:r w:rsidRPr="006F2620" w:rsidR="006A1733">
        <w:rPr>
          <w:spacing w:val="-2"/>
        </w:rPr>
        <w:t>/Company</w:t>
      </w:r>
      <w:r w:rsidRPr="006F2620">
        <w:rPr>
          <w:spacing w:val="-2"/>
        </w:rPr>
        <w:t>]</w:t>
      </w:r>
      <w:r w:rsidR="00AD5133">
        <w:rPr>
          <w:vertAlign w:val="superscript"/>
        </w:rPr>
        <w:t>2</w:t>
      </w:r>
      <w:r w:rsidRPr="006F2620">
        <w:rPr>
          <w:spacing w:val="-2"/>
        </w:rPr>
        <w:t xml:space="preserve"> excluding the Side Pocket Assets attributable to the Special Investment Shares and creating for the benefit of such </w:t>
      </w:r>
      <w:r w:rsidRPr="006F2620">
        <w:t xml:space="preserve">Shareholder </w:t>
      </w:r>
      <w:r w:rsidRPr="006F2620">
        <w:rPr>
          <w:spacing w:val="-2"/>
        </w:rPr>
        <w:t>a corresponding pro-rata interest in the Special Investment Shares.</w:t>
      </w:r>
      <w:bookmarkEnd w:id="48"/>
      <w:r w:rsidRPr="006F2620">
        <w:rPr>
          <w:spacing w:val="-2"/>
        </w:rPr>
        <w:t xml:space="preserve"> </w:t>
      </w:r>
    </w:p>
    <w:p w:rsidR="00D35BAD" w:rsidP="000470E7" w14:paraId="4C535D87" w14:textId="6F807474">
      <w:pPr>
        <w:pStyle w:val="ssNoHeading2"/>
        <w:rPr>
          <w:color w:val="auto"/>
          <w:spacing w:val="-2"/>
          <w:shd w:val="clear" w:color="auto" w:fill="auto"/>
        </w:rPr>
      </w:pPr>
      <w:r w:rsidRPr="006F2620">
        <w:rPr>
          <w:spacing w:val="-2"/>
        </w:rPr>
        <w:t>The value</w:t>
      </w:r>
      <w:r w:rsidR="003B0AD7">
        <w:rPr>
          <w:spacing w:val="-2"/>
        </w:rPr>
        <w:t xml:space="preserve"> of</w:t>
      </w:r>
      <w:r w:rsidRPr="006F2620">
        <w:rPr>
          <w:spacing w:val="-2"/>
        </w:rPr>
        <w:t xml:space="preserve"> </w:t>
      </w:r>
      <w:r w:rsidR="00C343AA">
        <w:rPr>
          <w:spacing w:val="-2"/>
        </w:rPr>
        <w:t>Side Pocket Assets</w:t>
      </w:r>
      <w:r w:rsidRPr="006F2620">
        <w:rPr>
          <w:spacing w:val="-2"/>
        </w:rPr>
        <w:t xml:space="preserve"> shall be determined by the ACD in a manner consistent with Clause </w:t>
      </w:r>
      <w:r w:rsidR="003B478D">
        <w:rPr>
          <w:spacing w:val="-2"/>
        </w:rPr>
        <w:t>14</w:t>
      </w:r>
      <w:r w:rsidRPr="006F2620">
        <w:rPr>
          <w:spacing w:val="-2"/>
        </w:rPr>
        <w:t xml:space="preserve">. </w:t>
      </w:r>
    </w:p>
    <w:p w:rsidR="00D35BAD" w:rsidP="000470E7" w14:paraId="3C44ED65" w14:textId="174CCD00">
      <w:pPr>
        <w:pStyle w:val="ssNoHeading2"/>
        <w:rPr>
          <w:color w:val="auto"/>
          <w:spacing w:val="-2"/>
          <w:shd w:val="clear" w:color="auto" w:fill="auto"/>
        </w:rPr>
      </w:pPr>
      <w:r w:rsidRPr="006F2620">
        <w:rPr>
          <w:spacing w:val="-2"/>
        </w:rPr>
        <w:t>Unless otherwise described in this Clause</w:t>
      </w:r>
      <w:r>
        <w:rPr>
          <w:spacing w:val="-2"/>
        </w:rPr>
        <w:t xml:space="preserve"> </w:t>
      </w:r>
      <w:r>
        <w:rPr>
          <w:spacing w:val="-2"/>
        </w:rPr>
        <w:fldChar w:fldCharType="begin"/>
      </w:r>
      <w:r>
        <w:rPr>
          <w:spacing w:val="-2"/>
        </w:rPr>
        <w:instrText xml:space="preserve"> REF _Ref102939785 \r \h </w:instrText>
      </w:r>
      <w:r>
        <w:rPr>
          <w:spacing w:val="-2"/>
        </w:rPr>
        <w:fldChar w:fldCharType="separate"/>
      </w:r>
      <w:r w:rsidR="0011178A">
        <w:rPr>
          <w:spacing w:val="-2"/>
          <w:cs/>
        </w:rPr>
        <w:t>‎</w:t>
      </w:r>
      <w:r w:rsidR="0011178A">
        <w:rPr>
          <w:spacing w:val="-2"/>
        </w:rPr>
        <w:t>13</w:t>
      </w:r>
      <w:r>
        <w:rPr>
          <w:spacing w:val="-2"/>
        </w:rPr>
        <w:fldChar w:fldCharType="end"/>
      </w:r>
      <w:r w:rsidRPr="006F2620">
        <w:rPr>
          <w:spacing w:val="-2"/>
        </w:rPr>
        <w:t xml:space="preserve"> or unless otherwise determined by the ACD, a Special Investment Share shall have the same rights and characteristics as </w:t>
      </w:r>
      <w:r w:rsidR="00A43DF0">
        <w:rPr>
          <w:spacing w:val="-2"/>
        </w:rPr>
        <w:t xml:space="preserve">a Share of </w:t>
      </w:r>
      <w:r w:rsidRPr="006F2620">
        <w:rPr>
          <w:spacing w:val="-2"/>
        </w:rPr>
        <w:t xml:space="preserve">any other Class. </w:t>
      </w:r>
      <w:r w:rsidRPr="006F2620">
        <w:t xml:space="preserve">Shareholders </w:t>
      </w:r>
      <w:r w:rsidRPr="006F2620">
        <w:rPr>
          <w:spacing w:val="-2"/>
        </w:rPr>
        <w:t>in Classes other than the Special Investment Shares shall not participate in the assets or liabilities attributable to those Special Investment Shares, and the assets and liabilities attribut</w:t>
      </w:r>
      <w:r w:rsidRPr="006F2620" w:rsidR="00AC0B36">
        <w:rPr>
          <w:spacing w:val="-2"/>
        </w:rPr>
        <w:t>able</w:t>
      </w:r>
      <w:r w:rsidRPr="006F2620">
        <w:rPr>
          <w:spacing w:val="-2"/>
        </w:rPr>
        <w:t xml:space="preserve"> to the Special Investment Shares shall be segregated from and shall not form part of the other assets of the [relevant Fund</w:t>
      </w:r>
      <w:r w:rsidRPr="006F2620" w:rsidR="006A1733">
        <w:rPr>
          <w:spacing w:val="-2"/>
        </w:rPr>
        <w:t>/Company</w:t>
      </w:r>
      <w:r w:rsidRPr="006F2620">
        <w:rPr>
          <w:spacing w:val="-2"/>
        </w:rPr>
        <w:t>]</w:t>
      </w:r>
      <w:r w:rsidR="00AD5133">
        <w:rPr>
          <w:vertAlign w:val="superscript"/>
        </w:rPr>
        <w:t>2</w:t>
      </w:r>
      <w:r w:rsidRPr="006F2620">
        <w:rPr>
          <w:spacing w:val="-2"/>
        </w:rPr>
        <w:t xml:space="preserve">. </w:t>
      </w:r>
    </w:p>
    <w:p w:rsidR="00D35BAD" w:rsidP="000470E7" w14:paraId="3DC95700" w14:textId="488E8B00">
      <w:pPr>
        <w:pStyle w:val="ssNoHeading2"/>
        <w:rPr>
          <w:color w:val="auto"/>
          <w:spacing w:val="-2"/>
          <w:shd w:val="clear" w:color="auto" w:fill="auto"/>
        </w:rPr>
      </w:pPr>
      <w:r w:rsidRPr="006F2620">
        <w:rPr>
          <w:spacing w:val="-2"/>
        </w:rPr>
        <w:t xml:space="preserve">The liabilities of, or attributable to, a Special Investment Share shall be discharged solely out of the assets </w:t>
      </w:r>
      <w:r w:rsidRPr="006F2620" w:rsidR="007973EF">
        <w:rPr>
          <w:spacing w:val="-2"/>
        </w:rPr>
        <w:t>attributed to</w:t>
      </w:r>
      <w:r w:rsidRPr="006F2620">
        <w:rPr>
          <w:spacing w:val="-2"/>
        </w:rPr>
        <w:t xml:space="preserve"> that Special Investment Share. </w:t>
      </w:r>
    </w:p>
    <w:p w:rsidR="00D35BAD" w:rsidP="000470E7" w14:paraId="211EB2DC" w14:textId="485BD768">
      <w:pPr>
        <w:pStyle w:val="ssNoHeading2"/>
        <w:rPr>
          <w:color w:val="auto"/>
          <w:spacing w:val="-2"/>
          <w:shd w:val="clear" w:color="auto" w:fill="auto"/>
        </w:rPr>
      </w:pPr>
      <w:bookmarkStart w:id="49" w:name="_Ref106109566"/>
      <w:r>
        <w:rPr>
          <w:spacing w:val="-2"/>
        </w:rPr>
        <w:t>Shareholders shall be entitled to redeem</w:t>
      </w:r>
      <w:r w:rsidR="004D7772">
        <w:rPr>
          <w:spacing w:val="-2"/>
        </w:rPr>
        <w:t xml:space="preserve"> </w:t>
      </w:r>
      <w:r w:rsidR="0040210B">
        <w:rPr>
          <w:spacing w:val="-2"/>
        </w:rPr>
        <w:t xml:space="preserve">Shares of </w:t>
      </w:r>
      <w:r w:rsidR="004D7772">
        <w:rPr>
          <w:spacing w:val="-2"/>
        </w:rPr>
        <w:t>a</w:t>
      </w:r>
      <w:r w:rsidR="00A33393">
        <w:rPr>
          <w:spacing w:val="-2"/>
        </w:rPr>
        <w:t>ny</w:t>
      </w:r>
      <w:r w:rsidR="004D7772">
        <w:rPr>
          <w:spacing w:val="-2"/>
        </w:rPr>
        <w:t xml:space="preserve"> Class of</w:t>
      </w:r>
      <w:r>
        <w:rPr>
          <w:spacing w:val="-2"/>
        </w:rPr>
        <w:t xml:space="preserve"> </w:t>
      </w:r>
      <w:r w:rsidRPr="006F2620" w:rsidR="004B2147">
        <w:rPr>
          <w:spacing w:val="-2"/>
        </w:rPr>
        <w:t xml:space="preserve">Special Investment Shares </w:t>
      </w:r>
      <w:r>
        <w:rPr>
          <w:spacing w:val="-2"/>
        </w:rPr>
        <w:t>once the ACD has made a determination t</w:t>
      </w:r>
      <w:r w:rsidR="004D7772">
        <w:rPr>
          <w:spacing w:val="-2"/>
        </w:rPr>
        <w:t>o accept redemption requests in relation to such Class.</w:t>
      </w:r>
      <w:bookmarkEnd w:id="49"/>
    </w:p>
    <w:p w:rsidR="004B2147" w:rsidP="00D35BAD" w14:paraId="54C37AA7" w14:textId="42E89682">
      <w:pPr>
        <w:pStyle w:val="ssNoHeading2"/>
        <w:rPr>
          <w:color w:val="auto"/>
          <w:spacing w:val="-2"/>
          <w:shd w:val="clear" w:color="auto" w:fill="auto"/>
        </w:rPr>
      </w:pPr>
      <w:r>
        <w:rPr>
          <w:spacing w:val="-2"/>
        </w:rPr>
        <w:t>Subject to the Regulations, the</w:t>
      </w:r>
      <w:r w:rsidRPr="006F2620">
        <w:rPr>
          <w:spacing w:val="-2"/>
        </w:rPr>
        <w:t xml:space="preserve"> ACD may establish Special Investment Shares </w:t>
      </w:r>
      <w:r w:rsidR="00A43DF0">
        <w:rPr>
          <w:spacing w:val="-2"/>
        </w:rPr>
        <w:t>on terms</w:t>
      </w:r>
      <w:r w:rsidRPr="006F2620">
        <w:rPr>
          <w:spacing w:val="-2"/>
        </w:rPr>
        <w:t xml:space="preserve"> other than </w:t>
      </w:r>
      <w:r w:rsidR="00A43DF0">
        <w:rPr>
          <w:spacing w:val="-2"/>
        </w:rPr>
        <w:t xml:space="preserve">or additional to those </w:t>
      </w:r>
      <w:r w:rsidRPr="006F2620">
        <w:rPr>
          <w:spacing w:val="-2"/>
        </w:rPr>
        <w:t xml:space="preserve">set out </w:t>
      </w:r>
      <w:r w:rsidR="00A43DF0">
        <w:rPr>
          <w:spacing w:val="-2"/>
        </w:rPr>
        <w:t>in this Clause</w:t>
      </w:r>
      <w:r w:rsidR="000B62E4">
        <w:rPr>
          <w:spacing w:val="-2"/>
        </w:rPr>
        <w:t xml:space="preserve"> </w:t>
      </w:r>
      <w:r w:rsidR="00A43DF0">
        <w:rPr>
          <w:spacing w:val="-2"/>
        </w:rPr>
        <w:fldChar w:fldCharType="begin"/>
      </w:r>
      <w:r w:rsidR="00A43DF0">
        <w:rPr>
          <w:spacing w:val="-2"/>
        </w:rPr>
        <w:instrText xml:space="preserve"> REF _Ref102939785 \r \h </w:instrText>
      </w:r>
      <w:r w:rsidR="00A43DF0">
        <w:rPr>
          <w:spacing w:val="-2"/>
        </w:rPr>
        <w:fldChar w:fldCharType="separate"/>
      </w:r>
      <w:r w:rsidR="0011178A">
        <w:rPr>
          <w:spacing w:val="-2"/>
          <w:cs/>
        </w:rPr>
        <w:t>‎</w:t>
      </w:r>
      <w:r w:rsidR="0011178A">
        <w:rPr>
          <w:spacing w:val="-2"/>
        </w:rPr>
        <w:t>13</w:t>
      </w:r>
      <w:r w:rsidR="00A43DF0">
        <w:rPr>
          <w:spacing w:val="-2"/>
        </w:rPr>
        <w:fldChar w:fldCharType="end"/>
      </w:r>
      <w:r w:rsidR="00A43DF0">
        <w:rPr>
          <w:spacing w:val="-2"/>
        </w:rPr>
        <w:t xml:space="preserve"> </w:t>
      </w:r>
      <w:r w:rsidRPr="006F2620" w:rsidR="00A43DF0">
        <w:rPr>
          <w:spacing w:val="-2"/>
        </w:rPr>
        <w:t xml:space="preserve"> </w:t>
      </w:r>
      <w:r w:rsidRPr="006F2620">
        <w:rPr>
          <w:spacing w:val="-2"/>
        </w:rPr>
        <w:t xml:space="preserve">provided that such </w:t>
      </w:r>
      <w:r w:rsidR="00A43DF0">
        <w:rPr>
          <w:spacing w:val="-2"/>
        </w:rPr>
        <w:t>terms</w:t>
      </w:r>
      <w:r w:rsidRPr="006F2620" w:rsidR="00A43DF0">
        <w:rPr>
          <w:spacing w:val="-2"/>
        </w:rPr>
        <w:t xml:space="preserve"> </w:t>
      </w:r>
      <w:r w:rsidRPr="006F2620">
        <w:rPr>
          <w:spacing w:val="-2"/>
        </w:rPr>
        <w:t>are detailed in the Prospectus.</w:t>
      </w:r>
      <w:bookmarkEnd w:id="46"/>
      <w:bookmarkEnd w:id="47"/>
    </w:p>
    <w:p w:rsidR="00C343AA" w:rsidRPr="00D35BAD" w:rsidP="00D35BAD" w14:paraId="19C12BF8" w14:textId="6F100D21">
      <w:pPr>
        <w:pStyle w:val="ssNoHeading2"/>
        <w:rPr>
          <w:color w:val="auto"/>
          <w:spacing w:val="-2"/>
          <w:shd w:val="clear" w:color="auto" w:fill="auto"/>
        </w:rPr>
      </w:pPr>
      <w:bookmarkStart w:id="50" w:name="_Ref115451922"/>
      <w:r>
        <w:t xml:space="preserve">Where the ACD considers that it is no longer in the interests of the </w:t>
      </w:r>
      <w:r w:rsidR="005B3817">
        <w:t xml:space="preserve">Shareholders </w:t>
      </w:r>
      <w:r>
        <w:t>of [a Fund/the Company]</w:t>
      </w:r>
      <w:r>
        <w:rPr>
          <w:vertAlign w:val="superscript"/>
        </w:rPr>
        <w:t xml:space="preserve">2 </w:t>
      </w:r>
      <w:r w:rsidRPr="00E01A7A">
        <w:t>maintain</w:t>
      </w:r>
      <w:r>
        <w:t xml:space="preserve"> a pool of Side Pocket Assets or otherwise concludes that the Side Pocket Assets can be </w:t>
      </w:r>
      <w:r w:rsidR="005B3817">
        <w:t>combined</w:t>
      </w:r>
      <w:r>
        <w:t xml:space="preserve"> with the remaining assets of [the relevant Fund/the Company]</w:t>
      </w:r>
      <w:r>
        <w:rPr>
          <w:vertAlign w:val="superscript"/>
        </w:rPr>
        <w:t>2</w:t>
      </w:r>
      <w:r>
        <w:t xml:space="preserve"> without any material prejudice to the Shareholders in [that Fund/the Company]</w:t>
      </w:r>
      <w:r>
        <w:rPr>
          <w:vertAlign w:val="superscript"/>
        </w:rPr>
        <w:t>2</w:t>
      </w:r>
      <w:r>
        <w:t xml:space="preserve">, the ACD may, by giving [not less than 30 days'] prior written notice to the Shareholders in </w:t>
      </w:r>
      <w:r w:rsidRPr="00E01A7A">
        <w:rPr>
          <w:spacing w:val="-2"/>
        </w:rPr>
        <w:t>[the relevant Fund/the Company]</w:t>
      </w:r>
      <w:r>
        <w:rPr>
          <w:vertAlign w:val="superscript"/>
        </w:rPr>
        <w:t>2</w:t>
      </w:r>
      <w:r>
        <w:rPr>
          <w:spacing w:val="-2"/>
        </w:rPr>
        <w:t xml:space="preserve"> be entitled to </w:t>
      </w:r>
      <w:r w:rsidR="005B3817">
        <w:rPr>
          <w:spacing w:val="-2"/>
        </w:rPr>
        <w:t>combine</w:t>
      </w:r>
      <w:r>
        <w:rPr>
          <w:spacing w:val="-2"/>
        </w:rPr>
        <w:t xml:space="preserve"> the relevant Side Pocket Assets with the remaining assets of [the Fund/the Company]</w:t>
      </w:r>
      <w:r>
        <w:rPr>
          <w:vertAlign w:val="superscript"/>
        </w:rPr>
        <w:t>2</w:t>
      </w:r>
      <w:r>
        <w:rPr>
          <w:spacing w:val="-2"/>
        </w:rPr>
        <w:t xml:space="preserve"> and convert the Shares in the relevant Special Investment Class into Shares of another Class which is not a Special Investment Class as appropriate and </w:t>
      </w:r>
      <w:r w:rsidRPr="00993FBA">
        <w:rPr>
          <w:spacing w:val="-2"/>
        </w:rPr>
        <w:t>on such basis as is consistent with the requirements of the FCA Rules</w:t>
      </w:r>
      <w:bookmarkEnd w:id="50"/>
      <w:r w:rsidR="005B3817">
        <w:rPr>
          <w:spacing w:val="-2"/>
        </w:rPr>
        <w:t>.]</w:t>
      </w:r>
    </w:p>
    <w:p w:rsidR="004B2147" w:rsidP="00D57A80" w14:paraId="7FA9091D" w14:textId="73CF09EF">
      <w:pPr>
        <w:pStyle w:val="Heading1"/>
        <w:rPr>
          <w:color w:val="auto"/>
          <w:spacing w:val="-2"/>
          <w:shd w:val="clear" w:color="auto" w:fill="auto"/>
        </w:rPr>
      </w:pPr>
      <w:bookmarkStart w:id="51" w:name="_Ref96105947"/>
      <w:bookmarkStart w:id="52" w:name="_Toc119942038"/>
      <w:bookmarkEnd w:id="45"/>
      <w:r>
        <w:t>Valuation and Pricing</w:t>
      </w:r>
      <w:bookmarkEnd w:id="51"/>
      <w:bookmarkEnd w:id="52"/>
    </w:p>
    <w:p w:rsidR="004B2147" w:rsidP="00A9030A" w14:paraId="12CF9C3E" w14:textId="6345E4BF">
      <w:pPr>
        <w:pStyle w:val="ssNoHeading2"/>
        <w:numPr>
          <w:ilvl w:val="0"/>
          <w:numId w:val="0"/>
        </w:numPr>
        <w:ind w:left="709"/>
        <w:rPr>
          <w:color w:val="auto"/>
          <w:shd w:val="clear" w:color="auto" w:fill="auto"/>
        </w:rPr>
      </w:pPr>
      <w:bookmarkStart w:id="53" w:name="_Ref95063246"/>
      <w:r>
        <w:t>The Shares will be [single/dual] priced. The Net Asset Value of the Company [and each Fund]</w:t>
      </w:r>
      <w:r w:rsidR="00AD5133">
        <w:rPr>
          <w:vertAlign w:val="superscript"/>
        </w:rPr>
        <w:t>2</w:t>
      </w:r>
      <w:r>
        <w:t xml:space="preserve"> shall be determined in accordance with the FCA Rules and, subject thereto, in accordance with </w:t>
      </w:r>
      <w:r>
        <w:fldChar w:fldCharType="begin"/>
      </w:r>
      <w:r>
        <w:instrText xml:space="preserve"> REF _Ref92237364 \r \h </w:instrText>
      </w:r>
      <w:r>
        <w:fldChar w:fldCharType="separate"/>
      </w:r>
      <w:r w:rsidR="0011178A">
        <w:rPr>
          <w:cs/>
        </w:rPr>
        <w:t>‎</w:t>
      </w:r>
      <w:r w:rsidR="0011178A">
        <w:t>Part 2</w:t>
      </w:r>
      <w:r>
        <w:fldChar w:fldCharType="end"/>
      </w:r>
      <w:r>
        <w:t xml:space="preserve"> of the Schedule to this Instrument and the Prospectus.</w:t>
      </w:r>
      <w:r w:rsidR="000F6F38">
        <w:t xml:space="preserve"> </w:t>
      </w:r>
      <w:r>
        <w:t>Subject to the FCA Rules and in the absence of bad faith, negligence or manifest error, such determination by the ACD shall be definitive.</w:t>
      </w:r>
      <w:bookmarkEnd w:id="53"/>
      <w:r w:rsidR="007D4917">
        <w:t xml:space="preserve"> </w:t>
      </w:r>
    </w:p>
    <w:p w:rsidR="004B2147" w:rsidP="00D57A80" w14:paraId="25D18954" w14:textId="3346D7D5">
      <w:pPr>
        <w:pStyle w:val="Heading1"/>
        <w:rPr>
          <w:color w:val="auto"/>
          <w:shd w:val="clear" w:color="auto" w:fill="auto"/>
        </w:rPr>
      </w:pPr>
      <w:bookmarkStart w:id="54" w:name="_Toc119942039"/>
      <w:r>
        <w:t>Issue, Cancellation, Sale and Redemption of Shares</w:t>
      </w:r>
      <w:bookmarkEnd w:id="54"/>
    </w:p>
    <w:p w:rsidR="004B2147" w:rsidP="00D57A80" w14:paraId="728E1E20" w14:textId="30F79A63">
      <w:pPr>
        <w:pStyle w:val="ssNoHeading2"/>
        <w:rPr>
          <w:color w:val="auto"/>
          <w:shd w:val="clear" w:color="auto" w:fill="auto"/>
        </w:rPr>
      </w:pPr>
      <w:r>
        <w:t xml:space="preserve">The ACD will issue or cancel Shares by making a record of the issue or cancellation of such Shares and the number of Shares in each Class concerned. [Subject to and in accordance with the FCA Rules, the issue or cancellation of </w:t>
      </w:r>
      <w:r w:rsidR="00E74FFE">
        <w:t xml:space="preserve">Shares </w:t>
      </w:r>
      <w:r>
        <w:t>may take place through the Company directly].</w:t>
      </w:r>
      <w:r>
        <w:rPr>
          <w:rStyle w:val="EndnoteReference"/>
        </w:rPr>
        <w:endnoteReference w:id="20"/>
      </w:r>
    </w:p>
    <w:p w:rsidR="004B2147" w:rsidP="00D57A80" w14:paraId="51269DD2" w14:textId="523F1E78">
      <w:pPr>
        <w:pStyle w:val="ssNoHeading2"/>
        <w:rPr>
          <w:color w:val="auto"/>
          <w:shd w:val="clear" w:color="auto" w:fill="auto"/>
        </w:rPr>
      </w:pPr>
      <w:r>
        <w:t>Subject to the FCA Rules, the Depositary may take into or pay out of the Scheme Property assets other than cash as payment for the issue or cancellation of Shares (‘in specie issue or cancellation’).</w:t>
      </w:r>
    </w:p>
    <w:p w:rsidR="004B2147" w:rsidP="005D245B" w14:paraId="0A9CBAA3" w14:textId="3FBB5F93">
      <w:pPr>
        <w:pStyle w:val="ssNoHeading2"/>
        <w:rPr>
          <w:color w:val="auto"/>
          <w:shd w:val="clear" w:color="auto" w:fill="auto"/>
        </w:rPr>
      </w:pPr>
      <w:bookmarkStart w:id="55" w:name="_Ref95660117"/>
      <w:bookmarkStart w:id="56" w:name="_Hlk117865444"/>
      <w:r>
        <w:t>The frequency of dealing for sales and redemptions of Shares</w:t>
      </w:r>
      <w:r w:rsidR="00067CAB">
        <w:t xml:space="preserve">, and the applicable notice period for redemptions of </w:t>
      </w:r>
      <w:r w:rsidR="000A1DAB">
        <w:t>Share</w:t>
      </w:r>
      <w:r w:rsidR="00067CAB">
        <w:t>s in the scheme</w:t>
      </w:r>
      <w:r>
        <w:t xml:space="preserve"> are set out [for each Fund]</w:t>
      </w:r>
      <w:r w:rsidR="00AD5133">
        <w:rPr>
          <w:vertAlign w:val="superscript"/>
        </w:rPr>
        <w:t>2</w:t>
      </w:r>
      <w:r>
        <w:t xml:space="preserve"> in </w:t>
      </w:r>
      <w:r>
        <w:fldChar w:fldCharType="begin"/>
      </w:r>
      <w:r>
        <w:instrText xml:space="preserve"> REF _Ref95185663 \r \h </w:instrText>
      </w:r>
      <w:r>
        <w:fldChar w:fldCharType="separate"/>
      </w:r>
      <w:r w:rsidR="0011178A">
        <w:rPr>
          <w:cs/>
        </w:rPr>
        <w:t>‎</w:t>
      </w:r>
      <w:r w:rsidR="0011178A">
        <w:t>Part 1</w:t>
      </w:r>
      <w:r>
        <w:fldChar w:fldCharType="end"/>
      </w:r>
      <w:r>
        <w:t xml:space="preserve"> to the Schedule.</w:t>
      </w:r>
      <w:r w:rsidRPr="00A9030A">
        <w:rPr>
          <w:szCs w:val="22"/>
        </w:rPr>
        <w:t xml:space="preserve"> </w:t>
      </w:r>
      <w:r>
        <w:t>The ACD</w:t>
      </w:r>
      <w:r w:rsidRPr="00B66BAD">
        <w:t xml:space="preserve"> </w:t>
      </w:r>
      <w:r w:rsidR="003F0498">
        <w:t>shall</w:t>
      </w:r>
      <w:r w:rsidRPr="00B66BAD">
        <w:t xml:space="preserve"> determine the price for the </w:t>
      </w:r>
      <w:r>
        <w:t>Shares</w:t>
      </w:r>
      <w:r w:rsidRPr="00B66BAD">
        <w:t xml:space="preserve"> </w:t>
      </w:r>
      <w:r>
        <w:t xml:space="preserve">to </w:t>
      </w:r>
      <w:r w:rsidRPr="00B66BAD">
        <w:t xml:space="preserve">be redeemed pursuant to </w:t>
      </w:r>
      <w:r>
        <w:t>a</w:t>
      </w:r>
      <w:r w:rsidRPr="00B66BAD">
        <w:t xml:space="preserve"> </w:t>
      </w:r>
      <w:r>
        <w:t>Shareholder</w:t>
      </w:r>
      <w:r w:rsidRPr="00B66BAD">
        <w:t xml:space="preserve">’s redemption request at the first valuation point following the end of the notice period specified </w:t>
      </w:r>
      <w:r>
        <w:t>for the [relevant Fund</w:t>
      </w:r>
      <w:r w:rsidR="006A1733">
        <w:t>/Company</w:t>
      </w:r>
      <w:r>
        <w:t>]</w:t>
      </w:r>
      <w:r w:rsidR="00AD5133">
        <w:rPr>
          <w:vertAlign w:val="superscript"/>
        </w:rPr>
        <w:t>2</w:t>
      </w:r>
      <w:r>
        <w:t xml:space="preserve"> as specified </w:t>
      </w:r>
      <w:r w:rsidRPr="00B66BAD">
        <w:t xml:space="preserve">in </w:t>
      </w:r>
      <w:r>
        <w:fldChar w:fldCharType="begin"/>
      </w:r>
      <w:r>
        <w:instrText xml:space="preserve"> REF _Ref95185663 \r \h </w:instrText>
      </w:r>
      <w:r>
        <w:fldChar w:fldCharType="separate"/>
      </w:r>
      <w:r w:rsidR="0011178A">
        <w:rPr>
          <w:cs/>
        </w:rPr>
        <w:t>‎</w:t>
      </w:r>
      <w:r w:rsidR="0011178A">
        <w:t>Part 1</w:t>
      </w:r>
      <w:r>
        <w:fldChar w:fldCharType="end"/>
      </w:r>
      <w:r>
        <w:t xml:space="preserve"> to the Schedule </w:t>
      </w:r>
      <w:r w:rsidRPr="00B66BAD">
        <w:t xml:space="preserve">(the </w:t>
      </w:r>
      <w:r>
        <w:t>“</w:t>
      </w:r>
      <w:r w:rsidRPr="00B66BAD">
        <w:rPr>
          <w:u w:val="single"/>
        </w:rPr>
        <w:t>Notice Period</w:t>
      </w:r>
      <w:r>
        <w:t>”</w:t>
      </w:r>
      <w:r w:rsidRPr="00B66BAD">
        <w:t>)</w:t>
      </w:r>
      <w:r>
        <w:t>.</w:t>
      </w:r>
      <w:bookmarkEnd w:id="55"/>
    </w:p>
    <w:p w:rsidR="00800003" w:rsidP="00D57A80" w14:paraId="57350D59" w14:textId="023B4B04">
      <w:pPr>
        <w:pStyle w:val="ssNoHeading2"/>
        <w:rPr>
          <w:color w:val="auto"/>
          <w:shd w:val="clear" w:color="auto" w:fill="auto"/>
        </w:rPr>
      </w:pPr>
      <w:bookmarkStart w:id="57" w:name="_Hlk117865540"/>
      <w:bookmarkEnd w:id="56"/>
      <w:r>
        <w:t xml:space="preserve">The arrangements for the sale and redemption of </w:t>
      </w:r>
      <w:r w:rsidR="006A1733">
        <w:t>Shares</w:t>
      </w:r>
      <w:r>
        <w:t xml:space="preserve"> are as set out in the Prospectus.</w:t>
      </w:r>
      <w:r w:rsidR="00610004">
        <w:t xml:space="preserve"> </w:t>
      </w:r>
      <w:r w:rsidRPr="00B53FC4" w:rsidR="00610004">
        <w:rPr>
          <w:lang w:bidi="he-IL"/>
        </w:rPr>
        <w:t xml:space="preserve">The </w:t>
      </w:r>
      <w:r w:rsidR="00610004">
        <w:rPr>
          <w:lang w:bidi="he-IL"/>
        </w:rPr>
        <w:t>ACD</w:t>
      </w:r>
      <w:r w:rsidRPr="00B53FC4" w:rsidR="00610004">
        <w:rPr>
          <w:lang w:bidi="he-IL"/>
        </w:rPr>
        <w:t xml:space="preserve"> may, with the prior agreement of the Depositary, or must without delay if the Depositary so requires, tempo</w:t>
      </w:r>
      <w:r w:rsidR="00610004">
        <w:rPr>
          <w:lang w:bidi="he-IL"/>
        </w:rPr>
        <w:t>rarily suspend the issue, sale,</w:t>
      </w:r>
      <w:r w:rsidRPr="00B53FC4" w:rsidR="00610004">
        <w:rPr>
          <w:lang w:bidi="he-IL"/>
        </w:rPr>
        <w:t xml:space="preserve"> redemption</w:t>
      </w:r>
      <w:r w:rsidR="00610004">
        <w:rPr>
          <w:lang w:bidi="he-IL"/>
        </w:rPr>
        <w:t xml:space="preserve"> and cancellation</w:t>
      </w:r>
      <w:r w:rsidRPr="00B53FC4" w:rsidR="00610004">
        <w:rPr>
          <w:lang w:bidi="he-IL"/>
        </w:rPr>
        <w:t xml:space="preserve"> of </w:t>
      </w:r>
      <w:r w:rsidR="000A1DAB">
        <w:rPr>
          <w:lang w:bidi="he-IL"/>
        </w:rPr>
        <w:t>Share</w:t>
      </w:r>
      <w:r w:rsidRPr="00B53FC4" w:rsidR="00610004">
        <w:rPr>
          <w:lang w:bidi="he-IL"/>
        </w:rPr>
        <w:t xml:space="preserve">s without prior notice to </w:t>
      </w:r>
      <w:r w:rsidR="00610004">
        <w:rPr>
          <w:lang w:bidi="he-IL"/>
        </w:rPr>
        <w:t>Share</w:t>
      </w:r>
      <w:r w:rsidRPr="00B53FC4" w:rsidR="00610004">
        <w:rPr>
          <w:lang w:bidi="he-IL"/>
        </w:rPr>
        <w:t>holders</w:t>
      </w:r>
      <w:r>
        <w:rPr>
          <w:lang w:bidi="he-IL"/>
        </w:rPr>
        <w:t xml:space="preserve"> on the occurrence of any of the following events:</w:t>
      </w:r>
    </w:p>
    <w:p w:rsidR="00800003" w:rsidP="00800003" w14:paraId="367F1C38" w14:textId="0F34E9EC">
      <w:pPr>
        <w:pStyle w:val="Heading3"/>
        <w:rPr>
          <w:color w:val="auto"/>
          <w:shd w:val="clear" w:color="auto" w:fill="auto"/>
        </w:rPr>
      </w:pPr>
      <w:r>
        <w:rPr>
          <w:b w:val="0"/>
          <w:bCs w:val="0"/>
        </w:rPr>
        <w:t>[</w:t>
      </w:r>
      <w:r>
        <w:rPr>
          <w:b w:val="0"/>
          <w:bCs w:val="0"/>
          <w:i/>
          <w:iCs/>
        </w:rPr>
        <w:t xml:space="preserve">insert events following which suspension </w:t>
      </w:r>
      <w:r w:rsidR="00677F07">
        <w:rPr>
          <w:b w:val="0"/>
          <w:bCs w:val="0"/>
          <w:i/>
          <w:iCs/>
        </w:rPr>
        <w:t>may</w:t>
      </w:r>
      <w:r>
        <w:rPr>
          <w:b w:val="0"/>
          <w:bCs w:val="0"/>
          <w:i/>
          <w:iCs/>
        </w:rPr>
        <w:t xml:space="preserve"> occur],</w:t>
      </w:r>
    </w:p>
    <w:p w:rsidR="004B2147" w:rsidP="00800003" w14:paraId="51816637" w14:textId="218D6C51">
      <w:pPr>
        <w:pStyle w:val="ssNoHeading2"/>
        <w:numPr>
          <w:ilvl w:val="0"/>
          <w:numId w:val="0"/>
        </w:numPr>
        <w:ind w:left="709"/>
        <w:rPr>
          <w:color w:val="auto"/>
          <w:shd w:val="clear" w:color="auto" w:fill="auto"/>
        </w:rPr>
      </w:pPr>
      <w:r w:rsidRPr="00800003">
        <w:rPr>
          <w:lang w:bidi="he-IL"/>
        </w:rPr>
        <w:t>on the terms set out in the Prospectus and in accordance with the FCA Rules</w:t>
      </w:r>
      <w:r w:rsidR="005030B3">
        <w:rPr>
          <w:lang w:bidi="he-IL"/>
        </w:rPr>
        <w:t>.</w:t>
      </w:r>
      <w:r>
        <w:rPr>
          <w:rStyle w:val="EndnoteReference"/>
          <w:lang w:bidi="he-IL"/>
        </w:rPr>
        <w:endnoteReference w:id="21"/>
      </w:r>
    </w:p>
    <w:p w:rsidR="004B2147" w:rsidP="00D57A80" w14:paraId="6C3B3F84" w14:textId="08FA872A">
      <w:pPr>
        <w:pStyle w:val="ssNoHeading2"/>
        <w:rPr>
          <w:color w:val="auto"/>
          <w:shd w:val="clear" w:color="auto" w:fill="auto"/>
        </w:rPr>
      </w:pPr>
      <w:bookmarkEnd w:id="57"/>
      <w:r>
        <w:t xml:space="preserve">The ACD may permit deferral of redemptions </w:t>
      </w:r>
      <w:r w:rsidR="00782E43">
        <w:t xml:space="preserve">of Shares </w:t>
      </w:r>
      <w:r>
        <w:t>at a valuation point</w:t>
      </w:r>
      <w:r w:rsidR="000F6F38">
        <w:t xml:space="preserve"> </w:t>
      </w:r>
      <w:r>
        <w:t xml:space="preserve">to the next valuation point where the requested redemptions exceed </w:t>
      </w:r>
      <w:r w:rsidR="00067CAB">
        <w:t>the</w:t>
      </w:r>
      <w:r>
        <w:t xml:space="preserve"> percentage of the [Fund’s</w:t>
      </w:r>
      <w:r w:rsidR="00782E43">
        <w:t>/Company’s</w:t>
      </w:r>
      <w:r>
        <w:t>]</w:t>
      </w:r>
      <w:r w:rsidR="00AD5133">
        <w:rPr>
          <w:vertAlign w:val="superscript"/>
        </w:rPr>
        <w:t>2</w:t>
      </w:r>
      <w:r>
        <w:t xml:space="preserve"> value </w:t>
      </w:r>
      <w:r w:rsidR="00067CAB">
        <w:t>that is specified</w:t>
      </w:r>
      <w:r>
        <w:t xml:space="preserve"> in the Prospectus</w:t>
      </w:r>
      <w:r w:rsidR="00067CAB">
        <w:t xml:space="preserve"> for such purpose [in respect of Funds generally or that Fund specifically]</w:t>
      </w:r>
      <w:r w:rsidR="00067CAB">
        <w:rPr>
          <w:vertAlign w:val="superscript"/>
        </w:rPr>
        <w:t>2</w:t>
      </w:r>
      <w:r>
        <w:t xml:space="preserve">, on such basis as is consistent with the requirements of the FCA Rules. In addition, the ACD may refuse requested redemptions that exceed </w:t>
      </w:r>
      <w:r w:rsidR="00067CAB">
        <w:t>the</w:t>
      </w:r>
      <w:r>
        <w:t xml:space="preserve"> percentage of [a Fund’s</w:t>
      </w:r>
      <w:r w:rsidR="00782E43">
        <w:t>/the Company’s</w:t>
      </w:r>
      <w:r>
        <w:t>]</w:t>
      </w:r>
      <w:r w:rsidR="00AD5133">
        <w:rPr>
          <w:vertAlign w:val="superscript"/>
        </w:rPr>
        <w:t>2</w:t>
      </w:r>
      <w:r>
        <w:t xml:space="preserve"> value </w:t>
      </w:r>
      <w:r w:rsidR="00067CAB">
        <w:t>and/or a Shareholder’s Shares in [a Fund/the Company]</w:t>
      </w:r>
      <w:r w:rsidR="00067CAB">
        <w:rPr>
          <w:vertAlign w:val="superscript"/>
        </w:rPr>
        <w:t>2</w:t>
      </w:r>
      <w:r w:rsidR="00067CAB">
        <w:t xml:space="preserve"> that is specified in the Prospectus for such purpose [in respect of Funds generally or that Fund specifically]</w:t>
      </w:r>
      <w:r w:rsidR="00067CAB">
        <w:rPr>
          <w:vertAlign w:val="superscript"/>
        </w:rPr>
        <w:t>2</w:t>
      </w:r>
      <w:r>
        <w:t>, on such basis as is consistent with the requirements of the FCA Rules.</w:t>
      </w:r>
    </w:p>
    <w:p w:rsidR="004B2147" w:rsidP="00ED18A5" w14:paraId="2D2E3A69" w14:textId="12C72512">
      <w:pPr>
        <w:pStyle w:val="ssNoHeading2"/>
        <w:rPr>
          <w:color w:val="auto"/>
          <w:shd w:val="clear" w:color="auto" w:fill="auto"/>
        </w:rPr>
      </w:pPr>
      <w:bookmarkStart w:id="58" w:name="_Hlk117865853"/>
      <w:r w:rsidRPr="00ED18A5">
        <w:t xml:space="preserve">The </w:t>
      </w:r>
      <w:r>
        <w:t>ACD</w:t>
      </w:r>
      <w:r w:rsidRPr="00ED18A5">
        <w:t xml:space="preserve"> may determine that</w:t>
      </w:r>
      <w:r>
        <w:t>,</w:t>
      </w:r>
      <w:r w:rsidRPr="00ED18A5">
        <w:t xml:space="preserve"> in certain circumstances, it may be detrimental for existing </w:t>
      </w:r>
      <w:r>
        <w:t>Shareholders for it to</w:t>
      </w:r>
      <w:r w:rsidRPr="00ED18A5">
        <w:t xml:space="preserve"> accept an application for Shares representing more than a certain monetary value or a certain percentage of the Net Asset Value of </w:t>
      </w:r>
      <w:r>
        <w:t>[a</w:t>
      </w:r>
      <w:r w:rsidRPr="00ED18A5">
        <w:t xml:space="preserve"> Fund</w:t>
      </w:r>
      <w:r w:rsidR="00782E43">
        <w:t>/the Company</w:t>
      </w:r>
      <w:r>
        <w:t>]</w:t>
      </w:r>
      <w:r w:rsidR="00AD5133">
        <w:rPr>
          <w:vertAlign w:val="superscript"/>
        </w:rPr>
        <w:t>2</w:t>
      </w:r>
      <w:r>
        <w:t xml:space="preserve"> and i</w:t>
      </w:r>
      <w:r w:rsidRPr="00ED18A5">
        <w:t>n such case may</w:t>
      </w:r>
      <w:r w:rsidR="005E1FD7">
        <w:t>, in accordance with the terms of the Prospectus</w:t>
      </w:r>
      <w:r>
        <w:t>:</w:t>
      </w:r>
    </w:p>
    <w:p w:rsidR="004B2147" w:rsidP="00ED18A5" w14:paraId="08D3B0B6" w14:textId="72E87D9D">
      <w:pPr>
        <w:pStyle w:val="ssNoHeading3"/>
        <w:rPr>
          <w:color w:val="auto"/>
          <w:shd w:val="clear" w:color="auto" w:fill="auto"/>
        </w:rPr>
      </w:pPr>
      <w:r w:rsidRPr="00ED18A5">
        <w:t>limit applications for Shares accordingly,</w:t>
      </w:r>
    </w:p>
    <w:p w:rsidR="004B2147" w:rsidP="00ED18A5" w14:paraId="71004427" w14:textId="651C7D2F">
      <w:pPr>
        <w:pStyle w:val="ssNoHeading3"/>
        <w:rPr>
          <w:color w:val="auto"/>
          <w:shd w:val="clear" w:color="auto" w:fill="auto"/>
        </w:rPr>
      </w:pPr>
      <w:r w:rsidRPr="00ED18A5">
        <w:t>postpone applications, and</w:t>
      </w:r>
      <w:r w:rsidR="00067CAB">
        <w:t>/or</w:t>
      </w:r>
      <w:r w:rsidRPr="00ED18A5">
        <w:t xml:space="preserve"> </w:t>
      </w:r>
    </w:p>
    <w:p w:rsidR="004B2147" w:rsidP="00ED18A5" w14:paraId="4C6CBC59" w14:textId="0973B313">
      <w:pPr>
        <w:pStyle w:val="ssNoHeading3"/>
        <w:rPr>
          <w:color w:val="auto"/>
          <w:shd w:val="clear" w:color="auto" w:fill="auto"/>
        </w:rPr>
      </w:pPr>
      <w:r w:rsidRPr="00ED18A5">
        <w:t>in consultation with the relevant applicant(s), require such applicant(s) to stagger the proposed application</w:t>
      </w:r>
      <w:r w:rsidR="00067CAB">
        <w:t xml:space="preserve"> for Shares</w:t>
      </w:r>
      <w:r w:rsidRPr="00ED18A5">
        <w:t xml:space="preserve"> over an agreed period of time, in which case affected </w:t>
      </w:r>
      <w:r w:rsidR="005030B3">
        <w:t>applicants</w:t>
      </w:r>
      <w:r w:rsidRPr="00ED18A5" w:rsidR="005030B3">
        <w:t xml:space="preserve"> </w:t>
      </w:r>
      <w:r w:rsidRPr="00ED18A5">
        <w:t xml:space="preserve">will undertake irrevocably to subscribe and pay for Shares in the </w:t>
      </w:r>
      <w:r>
        <w:t>[</w:t>
      </w:r>
      <w:r w:rsidRPr="00ED18A5">
        <w:t>Fund</w:t>
      </w:r>
      <w:r w:rsidR="00782E43">
        <w:t>/Company</w:t>
      </w:r>
      <w:r>
        <w:t>]</w:t>
      </w:r>
      <w:r w:rsidR="00AD5133">
        <w:rPr>
          <w:vertAlign w:val="superscript"/>
        </w:rPr>
        <w:t>2</w:t>
      </w:r>
      <w:r w:rsidRPr="00ED18A5">
        <w:t xml:space="preserve"> up to the amount of their commitment</w:t>
      </w:r>
      <w:r w:rsidR="00067CAB">
        <w:t xml:space="preserve"> in such tranches, over such period, with such frequency and subject to such other terms and conditions as may be agreed with </w:t>
      </w:r>
      <w:r w:rsidRPr="00ED18A5">
        <w:t xml:space="preserve">the </w:t>
      </w:r>
      <w:r>
        <w:t>ACD</w:t>
      </w:r>
      <w:r w:rsidRPr="00ED18A5">
        <w:t>.</w:t>
      </w:r>
    </w:p>
    <w:p w:rsidR="00AA306B" w:rsidP="00D2593A" w14:paraId="679F5A00" w14:textId="7C611823">
      <w:pPr>
        <w:pStyle w:val="ssNoHeading2"/>
        <w:rPr>
          <w:color w:val="auto"/>
          <w:shd w:val="clear" w:color="auto" w:fill="auto"/>
        </w:rPr>
      </w:pPr>
      <w:bookmarkStart w:id="59" w:name="_Hlk117865974"/>
      <w:bookmarkEnd w:id="58"/>
      <w:r w:rsidRPr="006F2620">
        <w:t xml:space="preserve">The ACD may compulsorily redeem and/or cancel Shares </w:t>
      </w:r>
      <w:r>
        <w:t>in accordance with the terms of the Prospectus.</w:t>
      </w:r>
    </w:p>
    <w:p w:rsidR="004B2147" w:rsidRPr="006F2620" w:rsidP="00D2593A" w14:paraId="05CF916B" w14:textId="61AB0FC0">
      <w:pPr>
        <w:pStyle w:val="ssNoHeading2"/>
        <w:rPr>
          <w:color w:val="auto"/>
          <w:shd w:val="clear" w:color="auto" w:fill="auto"/>
        </w:rPr>
      </w:pPr>
      <w:r w:rsidRPr="006F2620">
        <w:t xml:space="preserve">[The ACD may compulsorily redeem and/or cancel such number of Shares as is required to effect a pro-rata reduction in the number of Shares held by a Shareholder in order to issue Special Investment Shares in accordance with Clause </w:t>
      </w:r>
      <w:r w:rsidR="00D35BAD">
        <w:fldChar w:fldCharType="begin"/>
      </w:r>
      <w:r w:rsidR="00D35BAD">
        <w:instrText xml:space="preserve"> REF _Ref102939785 \r \h </w:instrText>
      </w:r>
      <w:r w:rsidR="00D35BAD">
        <w:fldChar w:fldCharType="separate"/>
      </w:r>
      <w:r w:rsidR="0011178A">
        <w:rPr>
          <w:cs/>
        </w:rPr>
        <w:t>‎</w:t>
      </w:r>
      <w:r w:rsidR="0011178A">
        <w:t>13</w:t>
      </w:r>
      <w:r w:rsidR="00D35BAD">
        <w:fldChar w:fldCharType="end"/>
      </w:r>
      <w:r w:rsidRPr="006F2620">
        <w:t>.</w:t>
      </w:r>
    </w:p>
    <w:p w:rsidR="004B2147" w:rsidRPr="006F2620" w:rsidP="00D2593A" w14:paraId="32ACA637" w14:textId="77777777">
      <w:pPr>
        <w:pStyle w:val="ssNoHeading2"/>
        <w:rPr>
          <w:color w:val="auto"/>
          <w:shd w:val="clear" w:color="auto" w:fill="auto"/>
        </w:rPr>
      </w:pPr>
      <w:bookmarkStart w:id="60" w:name="_Ref95067673"/>
      <w:r w:rsidRPr="006F2620">
        <w:t>With regard to redemption of Special Investment Shares:</w:t>
      </w:r>
      <w:bookmarkEnd w:id="60"/>
    </w:p>
    <w:p w:rsidR="004B2147" w:rsidRPr="006F2620" w:rsidP="00D2593A" w14:paraId="7C8AA316" w14:textId="2BF92CF8">
      <w:pPr>
        <w:pStyle w:val="ssNoHeading3"/>
        <w:rPr>
          <w:color w:val="auto"/>
          <w:shd w:val="clear" w:color="auto" w:fill="auto"/>
        </w:rPr>
      </w:pPr>
      <w:r w:rsidRPr="006F2620">
        <w:t>the Company shall redeem Special Investment Shares only when so determined by the ACD and in accordance with such procedures as may be determined by the ACD</w:t>
      </w:r>
      <w:r w:rsidR="006F2620">
        <w:t xml:space="preserve"> in its sole discretion</w:t>
      </w:r>
      <w:r w:rsidRPr="006F2620">
        <w:t xml:space="preserve"> from time to time.</w:t>
      </w:r>
    </w:p>
    <w:p w:rsidR="004B2147" w:rsidRPr="006F2620" w:rsidP="00D2593A" w14:paraId="7A775016" w14:textId="380D0F96">
      <w:pPr>
        <w:pStyle w:val="ssNoHeading3"/>
        <w:rPr>
          <w:color w:val="auto"/>
          <w:shd w:val="clear" w:color="auto" w:fill="auto"/>
        </w:rPr>
      </w:pPr>
      <w:r w:rsidRPr="006F2620">
        <w:t>where the ACD determines that any Special Investment Shares are to be redeemed, the Shareholder</w:t>
      </w:r>
      <w:r w:rsidRPr="006F2620" w:rsidR="00005905">
        <w:t>s</w:t>
      </w:r>
      <w:r w:rsidRPr="006F2620">
        <w:t xml:space="preserve"> holding such Special Investment Shares will be paid a price per Special Investment Share determined by the ACD in its sole discretion having regard to the actual realisation value of any Side Pocket Assets attribut</w:t>
      </w:r>
      <w:r w:rsidRPr="006F2620" w:rsidR="00005905">
        <w:t>ed</w:t>
      </w:r>
      <w:r w:rsidRPr="006F2620">
        <w:t xml:space="preserve"> to th</w:t>
      </w:r>
      <w:r w:rsidRPr="006F2620" w:rsidR="00782E43">
        <w:t>os</w:t>
      </w:r>
      <w:r w:rsidRPr="006F2620">
        <w:t>e Special Investment Shares and deducting therefrom a provision for any fees and expenses which have accrued or otherwise have become due and payable in respect of th</w:t>
      </w:r>
      <w:r w:rsidRPr="006F2620" w:rsidR="00782E43">
        <w:t>os</w:t>
      </w:r>
      <w:r w:rsidRPr="006F2620">
        <w:t>e Special Investment Shares and the assets attribut</w:t>
      </w:r>
      <w:r w:rsidRPr="006F2620" w:rsidR="00005905">
        <w:t>ed</w:t>
      </w:r>
      <w:r w:rsidRPr="006F2620">
        <w:t xml:space="preserve"> thereto and rounding the resulting total to such number of decimal places as the ACD may determine.</w:t>
      </w:r>
    </w:p>
    <w:p w:rsidR="004B2147" w:rsidRPr="006F2620" w:rsidP="00D2593A" w14:paraId="4E48536D" w14:textId="52632F56">
      <w:pPr>
        <w:pStyle w:val="ssNoHeading3"/>
        <w:rPr>
          <w:color w:val="auto"/>
          <w:shd w:val="clear" w:color="auto" w:fill="auto"/>
        </w:rPr>
      </w:pPr>
      <w:r w:rsidRPr="006F2620">
        <w:t xml:space="preserve">any amount payable to a Shareholder under this Clause </w:t>
      </w:r>
      <w:r w:rsidRPr="00056E5D">
        <w:fldChar w:fldCharType="begin"/>
      </w:r>
      <w:r w:rsidRPr="006F2620">
        <w:instrText xml:space="preserve"> REF _Ref95067673 \r \h </w:instrText>
      </w:r>
      <w:r w:rsidRPr="006F2620" w:rsidR="00AF37CA">
        <w:instrText xml:space="preserve"> \* MERGEFORMAT </w:instrText>
      </w:r>
      <w:r w:rsidRPr="00056E5D">
        <w:fldChar w:fldCharType="separate"/>
      </w:r>
      <w:r w:rsidR="0011178A">
        <w:rPr>
          <w:cs/>
        </w:rPr>
        <w:t>‎</w:t>
      </w:r>
      <w:r w:rsidR="0011178A">
        <w:t>15.9</w:t>
      </w:r>
      <w:r w:rsidRPr="00056E5D">
        <w:fldChar w:fldCharType="end"/>
      </w:r>
      <w:r w:rsidRPr="006F2620">
        <w:t xml:space="preserve"> shall be paid in the Base Currency or in such other currencies as the ACD shall have determined as appropriate and shall be dispatched as soon as reasonably practicable following the realisation of the assets attributable to the Special Investment Shares.</w:t>
      </w:r>
    </w:p>
    <w:p w:rsidR="004B2147" w:rsidRPr="00056E5D" w:rsidP="00D2593A" w14:paraId="42C7D21F" w14:textId="5EFD916B">
      <w:pPr>
        <w:pStyle w:val="ssNoHeading3"/>
        <w:rPr>
          <w:color w:val="auto"/>
          <w:shd w:val="clear" w:color="auto" w:fill="auto"/>
        </w:rPr>
      </w:pPr>
      <w:r w:rsidRPr="006F2620">
        <w:t>the ACD may satisfy any redemption of Special Investment Shares by the transfer of assets in specie to a Shareholder in accordance with the provisions of the Prospectus.</w:t>
      </w:r>
      <w:r w:rsidRPr="006F2620" w:rsidR="00E74FFE">
        <w:t>]</w:t>
      </w:r>
      <w:r>
        <w:rPr>
          <w:rStyle w:val="EndnoteReference"/>
        </w:rPr>
        <w:endnoteReference w:id="22"/>
      </w:r>
    </w:p>
    <w:p w:rsidR="004B2147" w:rsidP="00D57A80" w14:paraId="3800AE9A" w14:textId="743DDF67">
      <w:pPr>
        <w:pStyle w:val="Heading1"/>
        <w:rPr>
          <w:color w:val="auto"/>
          <w:shd w:val="clear" w:color="auto" w:fill="auto"/>
        </w:rPr>
      </w:pPr>
      <w:bookmarkStart w:id="61" w:name="_Toc80522063"/>
      <w:bookmarkStart w:id="62" w:name="_Ref95663367"/>
      <w:bookmarkStart w:id="63" w:name="_Toc119942040"/>
      <w:bookmarkEnd w:id="59"/>
      <w:r>
        <w:t>Exchange of Shares etc</w:t>
      </w:r>
      <w:bookmarkEnd w:id="61"/>
      <w:bookmarkEnd w:id="62"/>
      <w:bookmarkEnd w:id="63"/>
    </w:p>
    <w:p w:rsidR="004B2147" w:rsidP="00D57A80" w14:paraId="48C5762B" w14:textId="176B424E">
      <w:pPr>
        <w:pStyle w:val="ssNoHeading2"/>
        <w:rPr>
          <w:color w:val="auto"/>
          <w:shd w:val="clear" w:color="auto" w:fill="auto"/>
        </w:rPr>
      </w:pPr>
      <w:bookmarkStart w:id="64" w:name="_Ref95657071"/>
      <w:bookmarkStart w:id="65" w:name="_Ref95173300"/>
      <w:r>
        <w:t>[Shareholders are entitled to switch Shares held in one Fund for Shares in another Fund, subject to the provisions of the Prospectus (including without limitation as to eligibility).</w:t>
      </w:r>
      <w:bookmarkEnd w:id="64"/>
      <w:r>
        <w:t>]</w:t>
      </w:r>
      <w:r>
        <w:rPr>
          <w:rStyle w:val="EndnoteReference"/>
        </w:rPr>
        <w:endnoteReference w:id="23"/>
      </w:r>
    </w:p>
    <w:p w:rsidR="004B2147" w:rsidP="00D57A80" w14:paraId="5749277F" w14:textId="36BC5AB8">
      <w:pPr>
        <w:pStyle w:val="ssNoHeading2"/>
        <w:rPr>
          <w:color w:val="auto"/>
          <w:shd w:val="clear" w:color="auto" w:fill="auto"/>
        </w:rPr>
      </w:pPr>
      <w:bookmarkStart w:id="66" w:name="_Ref95657243"/>
      <w:r>
        <w:t>Shareholders are entitled to convert Shares in one Class for Shares in another Class in the [same Fund]</w:t>
      </w:r>
      <w:r w:rsidR="00AD5133">
        <w:rPr>
          <w:vertAlign w:val="superscript"/>
        </w:rPr>
        <w:t>2</w:t>
      </w:r>
      <w:r>
        <w:t>, subject to the provisions of the Prospectus (including without limitation as to eligibility).</w:t>
      </w:r>
      <w:r>
        <w:rPr>
          <w:rStyle w:val="EndnoteReference"/>
        </w:rPr>
        <w:endnoteReference w:id="24"/>
      </w:r>
    </w:p>
    <w:p w:rsidR="004B2147" w14:paraId="23E6F99D" w14:textId="3248D384">
      <w:pPr>
        <w:pStyle w:val="ssNoHeading2"/>
        <w:rPr>
          <w:color w:val="auto"/>
          <w:shd w:val="clear" w:color="auto" w:fill="auto"/>
        </w:rPr>
      </w:pPr>
      <w:bookmarkStart w:id="67" w:name="_Ref517525981"/>
      <w:bookmarkEnd w:id="65"/>
      <w:bookmarkEnd w:id="66"/>
      <w:bookmarkEnd w:id="67"/>
      <w:r>
        <w:t>For the purposes of this Clause and for the avoidance of doubt, the ACD shall be construed as the Shareholder of all Shares in the Company which are in issue and in respect of which no other person's name is entered on the register.</w:t>
      </w:r>
    </w:p>
    <w:p w:rsidR="004B2147" w14:paraId="46C3E4AD" w14:textId="7215BCCC">
      <w:pPr>
        <w:pStyle w:val="ssNoHeading2"/>
        <w:rPr>
          <w:color w:val="auto"/>
          <w:shd w:val="clear" w:color="auto" w:fill="auto"/>
        </w:rPr>
      </w:pPr>
      <w:bookmarkStart w:id="68" w:name="_Ref517599993"/>
      <w:bookmarkStart w:id="69" w:name="_Hlk117866438"/>
      <w:bookmarkEnd w:id="68"/>
      <w:r>
        <w:t>Where [a switch or]</w:t>
      </w:r>
      <w:r w:rsidR="00AD5133">
        <w:rPr>
          <w:vertAlign w:val="superscript"/>
        </w:rPr>
        <w:t>2</w:t>
      </w:r>
      <w:r>
        <w:t xml:space="preserve"> a conversion of Shares requested by a Shareholder would, if effected, result in that Shareholder holding less than the permitted minimum holding (by number or value) of either original Shares or new Shares as set out in the Prospectus, then the ACD may (at its discretion) decide either to:</w:t>
      </w:r>
    </w:p>
    <w:p w:rsidR="004B2147" w:rsidP="000141F7" w14:paraId="6428A0FB" w14:textId="72F11D1B">
      <w:pPr>
        <w:pStyle w:val="ssNoHeading3"/>
        <w:rPr>
          <w:color w:val="auto"/>
          <w:shd w:val="clear" w:color="auto" w:fill="auto"/>
        </w:rPr>
      </w:pPr>
      <w:r>
        <w:t xml:space="preserve">treat the Shareholder in question as having made a request in respect of their entire holding of original Shares; </w:t>
      </w:r>
    </w:p>
    <w:p w:rsidR="005C2C40" w:rsidRPr="005C2C40" w:rsidP="000141F7" w14:paraId="2D279942" w14:textId="77777777">
      <w:pPr>
        <w:pStyle w:val="ssNoHeading3"/>
        <w:rPr>
          <w:color w:val="auto"/>
          <w:spacing w:val="-2"/>
          <w:shd w:val="clear" w:color="auto" w:fill="auto"/>
        </w:rPr>
      </w:pPr>
      <w:r>
        <w:t>refuse to give effect to the request; or</w:t>
      </w:r>
    </w:p>
    <w:p w:rsidR="004B2147" w:rsidP="000141F7" w14:paraId="05B498C0" w14:textId="4038853B">
      <w:pPr>
        <w:pStyle w:val="ssNoHeading3"/>
        <w:rPr>
          <w:color w:val="auto"/>
          <w:spacing w:val="-2"/>
          <w:shd w:val="clear" w:color="auto" w:fill="auto"/>
        </w:rPr>
      </w:pPr>
      <w:r>
        <w:t xml:space="preserve">grant the request in its original form (as relevant, in accordance with clause </w:t>
      </w:r>
      <w:r>
        <w:fldChar w:fldCharType="begin"/>
      </w:r>
      <w:r>
        <w:instrText xml:space="preserve"> REF _Ref115451832 \r \h </w:instrText>
      </w:r>
      <w:r>
        <w:fldChar w:fldCharType="separate"/>
      </w:r>
      <w:r w:rsidR="0011178A">
        <w:rPr>
          <w:cs/>
        </w:rPr>
        <w:t>‎</w:t>
      </w:r>
      <w:r w:rsidR="0011178A">
        <w:t>12.10</w:t>
      </w:r>
      <w:r>
        <w:fldChar w:fldCharType="end"/>
      </w:r>
      <w:r w:rsidR="00564DEC">
        <w:t>)</w:t>
      </w:r>
      <w:r>
        <w:t>.</w:t>
      </w:r>
    </w:p>
    <w:p w:rsidR="004B2147" w:rsidP="00D57A80" w14:paraId="71B83068" w14:textId="1EE6846C">
      <w:pPr>
        <w:pStyle w:val="ssNoHeading2"/>
        <w:rPr>
          <w:color w:val="auto"/>
          <w:shd w:val="clear" w:color="auto" w:fill="auto"/>
        </w:rPr>
      </w:pPr>
      <w:bookmarkStart w:id="70" w:name="_Ref517600233"/>
      <w:bookmarkStart w:id="71" w:name="_Ref95173651"/>
      <w:bookmarkEnd w:id="70"/>
      <w:r>
        <w:t>Where permitted by, and subject to the conditions set out in the Prospectus, the ACD may compulsorily convert a Shareholder’s Shares [in a Fund]</w:t>
      </w:r>
      <w:r w:rsidR="00AD5133">
        <w:rPr>
          <w:vertAlign w:val="superscript"/>
        </w:rPr>
        <w:t>2</w:t>
      </w:r>
      <w:r>
        <w:t xml:space="preserve"> for such number of Shares of a different Class [in the same Fund]</w:t>
      </w:r>
      <w:bookmarkStart w:id="72" w:name="_Hlk118327596"/>
      <w:r w:rsidR="00AD5133">
        <w:rPr>
          <w:vertAlign w:val="superscript"/>
        </w:rPr>
        <w:t>2</w:t>
      </w:r>
      <w:bookmarkEnd w:id="72"/>
      <w:r>
        <w:t xml:space="preserve"> as determined in accordance with the provisions of the Prospectus.</w:t>
      </w:r>
      <w:bookmarkEnd w:id="71"/>
    </w:p>
    <w:p w:rsidR="004B2147" w:rsidP="00D57A80" w14:paraId="3DC2BE4F" w14:textId="23AF3E10">
      <w:pPr>
        <w:pStyle w:val="ssNoHeading2"/>
        <w:rPr>
          <w:color w:val="auto"/>
          <w:shd w:val="clear" w:color="auto" w:fill="auto"/>
        </w:rPr>
      </w:pPr>
      <w:r>
        <w:t>An amount equal to any tax charge incurred by the Company or for which the Company or the ACD may be held liable as a result of an exchange pursuant to this Clause shall be recoverable from the Shareholder concerned and may be accounted for in any adjustment made of the number of new Shares to be issued pursuant to the provisions of the Prospectus.</w:t>
      </w:r>
    </w:p>
    <w:p w:rsidR="004B2147" w:rsidP="00CB4F52" w14:paraId="021F1AD4" w14:textId="479532F3">
      <w:pPr>
        <w:pStyle w:val="ssNoHeading2"/>
        <w:rPr>
          <w:color w:val="auto"/>
          <w:shd w:val="clear" w:color="auto" w:fill="auto"/>
        </w:rPr>
      </w:pPr>
      <w:r>
        <w:t>[</w:t>
      </w:r>
      <w:r w:rsidR="00811956">
        <w:t>Once</w:t>
      </w:r>
      <w:r w:rsidR="00612367">
        <w:t xml:space="preserve"> the ACD has made</w:t>
      </w:r>
      <w:r w:rsidR="00811956">
        <w:t xml:space="preserve"> a determination in accordance with Clause </w:t>
      </w:r>
      <w:r w:rsidR="00811956">
        <w:fldChar w:fldCharType="begin"/>
      </w:r>
      <w:r w:rsidR="00811956">
        <w:instrText xml:space="preserve"> REF _Ref106109566 \r \h </w:instrText>
      </w:r>
      <w:r w:rsidR="00811956">
        <w:fldChar w:fldCharType="separate"/>
      </w:r>
      <w:r w:rsidR="0011178A">
        <w:rPr>
          <w:cs/>
        </w:rPr>
        <w:t>‎</w:t>
      </w:r>
      <w:r w:rsidR="0011178A">
        <w:t>13.6</w:t>
      </w:r>
      <w:r w:rsidR="00811956">
        <w:fldChar w:fldCharType="end"/>
      </w:r>
      <w:r w:rsidR="005C2C40">
        <w:t xml:space="preserve">, and without prejudice to the powers of the ACD under Clause </w:t>
      </w:r>
      <w:r w:rsidR="005C2C40">
        <w:fldChar w:fldCharType="begin"/>
      </w:r>
      <w:r w:rsidR="005C2C40">
        <w:instrText xml:space="preserve"> REF _Ref115451922 \r \h </w:instrText>
      </w:r>
      <w:r w:rsidR="005C2C40">
        <w:fldChar w:fldCharType="separate"/>
      </w:r>
      <w:r w:rsidR="0011178A">
        <w:rPr>
          <w:cs/>
        </w:rPr>
        <w:t>‎</w:t>
      </w:r>
      <w:r w:rsidR="0011178A">
        <w:t>13.8</w:t>
      </w:r>
      <w:r w:rsidR="005C2C40">
        <w:fldChar w:fldCharType="end"/>
      </w:r>
      <w:r w:rsidR="00811956">
        <w:t>,</w:t>
      </w:r>
      <w:r w:rsidR="003E718E">
        <w:t xml:space="preserve"> Shareholders shall be entitled to convert Special Investment Shares into Shares of such other Class as</w:t>
      </w:r>
      <w:r w:rsidR="00811956">
        <w:t xml:space="preserve"> </w:t>
      </w:r>
      <w:r w:rsidRPr="00CB4F52">
        <w:t xml:space="preserve">the </w:t>
      </w:r>
      <w:r>
        <w:t>ACD</w:t>
      </w:r>
      <w:r w:rsidRPr="00CB4F52">
        <w:t xml:space="preserve"> </w:t>
      </w:r>
      <w:r w:rsidR="003E718E">
        <w:t>shall determine to be appropriate.</w:t>
      </w:r>
      <w:r>
        <w:t>]</w:t>
      </w:r>
      <w:r>
        <w:rPr>
          <w:rStyle w:val="EndnoteReference"/>
        </w:rPr>
        <w:endnoteReference w:id="25"/>
      </w:r>
    </w:p>
    <w:p w:rsidR="004B2147" w14:paraId="730BBBA1" w14:textId="77777777">
      <w:pPr>
        <w:pStyle w:val="Heading1"/>
        <w:rPr>
          <w:color w:val="auto"/>
          <w:shd w:val="clear" w:color="auto" w:fill="auto"/>
        </w:rPr>
      </w:pPr>
      <w:bookmarkStart w:id="73" w:name="_Ref102940178"/>
      <w:bookmarkStart w:id="74" w:name="_Toc119942041"/>
      <w:bookmarkEnd w:id="69"/>
      <w:r>
        <w:t>Restrictions on Holding Shares</w:t>
      </w:r>
      <w:bookmarkEnd w:id="73"/>
      <w:bookmarkEnd w:id="74"/>
    </w:p>
    <w:p w:rsidR="004B2147" w:rsidP="00D57A80" w14:paraId="242A1503" w14:textId="489978AC">
      <w:pPr>
        <w:pStyle w:val="ssNoHeading2"/>
        <w:rPr>
          <w:color w:val="auto"/>
          <w:shd w:val="clear" w:color="auto" w:fill="auto"/>
        </w:rPr>
      </w:pPr>
      <w:bookmarkStart w:id="75" w:name="_Ref92231780"/>
      <w:r>
        <w:t xml:space="preserve">The ACD may from time to time </w:t>
      </w:r>
      <w:r>
        <w:t>take</w:t>
      </w:r>
      <w:r>
        <w:t xml:space="preserve"> such action and impose such restrictions as it thinks necessary for the purpose of ensuring that no Shares in the Company are acquired or held by any person in circumstances (“</w:t>
      </w:r>
      <w:r>
        <w:rPr>
          <w:u w:val="single"/>
        </w:rPr>
        <w:t>relevant circumstances</w:t>
      </w:r>
      <w:r>
        <w:t>”):</w:t>
      </w:r>
      <w:bookmarkStart w:id="76" w:name="_Ref517526379"/>
      <w:bookmarkEnd w:id="75"/>
      <w:bookmarkEnd w:id="76"/>
    </w:p>
    <w:p w:rsidR="004B2147" w:rsidP="000141F7" w14:paraId="7D74E1F0" w14:textId="77777777">
      <w:pPr>
        <w:pStyle w:val="ssNoHeading3"/>
        <w:rPr>
          <w:color w:val="auto"/>
          <w:shd w:val="clear" w:color="auto" w:fill="auto"/>
        </w:rPr>
      </w:pPr>
      <w:bookmarkStart w:id="77" w:name="_Ref95173881"/>
      <w:r>
        <w:t>which constitute a breach of the law or governmental regulation (or any interpretation of a law or regulation by a competent authority) of any country or territory; or</w:t>
      </w:r>
      <w:bookmarkEnd w:id="77"/>
      <w:r>
        <w:t xml:space="preserve"> </w:t>
      </w:r>
    </w:p>
    <w:p w:rsidR="004B2147" w:rsidP="000141F7" w14:paraId="080CA9D4" w14:textId="17C17E17">
      <w:pPr>
        <w:pStyle w:val="ssNoHeading3"/>
        <w:rPr>
          <w:color w:val="auto"/>
          <w:shd w:val="clear" w:color="auto" w:fill="auto"/>
        </w:rPr>
      </w:pPr>
      <w:bookmarkStart w:id="78" w:name="_Ref95173837"/>
      <w:r>
        <w:t>which would (or could if other Shares were acquired or held in like circumstances) result in the Company incurring any liability to taxation or suffering any other adverse consequence (including a requirement to register under any securities or investment or similar laws or governmental regulation of any country or territory); or</w:t>
      </w:r>
      <w:bookmarkEnd w:id="78"/>
    </w:p>
    <w:p w:rsidR="004B2147" w14:paraId="68DBE462" w14:textId="245B191B">
      <w:pPr>
        <w:pStyle w:val="ssNoHeading3"/>
        <w:rPr>
          <w:color w:val="auto"/>
          <w:shd w:val="clear" w:color="auto" w:fill="auto"/>
        </w:rPr>
      </w:pPr>
      <w:bookmarkStart w:id="79" w:name="_Ref95173851"/>
      <w:bookmarkStart w:id="80" w:name="_Hlk117866648"/>
      <w:r>
        <w:t>where they are held in any manner by virtue of which the Shareholder or Shareholders in question is/are not qualified to hold such Shares; or</w:t>
      </w:r>
      <w:bookmarkEnd w:id="79"/>
    </w:p>
    <w:p w:rsidR="004B2147" w14:paraId="56D5708C" w14:textId="60FE60A1">
      <w:pPr>
        <w:pStyle w:val="ssNoHeading3"/>
        <w:rPr>
          <w:color w:val="auto"/>
          <w:shd w:val="clear" w:color="auto" w:fill="auto"/>
        </w:rPr>
      </w:pPr>
      <w:bookmarkStart w:id="81" w:name="_Ref95173860"/>
      <w:r>
        <w:t>where they are owned by a Shareholder who is registered in a jurisdiction (where the Company is not registered or recognised by the relevant competent authority) whereby communication with that Shareholder by the ACD, on behalf of the Company, might constitute a breach of the regulations in that jurisdiction (unless specific action is taken by the ACD to prevent such a communication constituting a breach); or</w:t>
      </w:r>
      <w:bookmarkEnd w:id="81"/>
    </w:p>
    <w:p w:rsidR="004B2147" w14:paraId="554B88BE" w14:textId="3FCDD492">
      <w:pPr>
        <w:pStyle w:val="ssNoHeading3"/>
        <w:rPr>
          <w:color w:val="auto"/>
          <w:shd w:val="clear" w:color="auto" w:fill="auto"/>
        </w:rPr>
      </w:pPr>
      <w:bookmarkStart w:id="82" w:name="_Ref95173870"/>
      <w:bookmarkEnd w:id="80"/>
      <w:r>
        <w:t>which constitute a breach of this Instrument or the Prospectus as to eligibility or entitlement to hold such Shares,</w:t>
      </w:r>
      <w:bookmarkEnd w:id="82"/>
    </w:p>
    <w:p w:rsidR="004B2147" w:rsidP="005D5E94" w14:paraId="432D17C3" w14:textId="73E988E5">
      <w:pPr>
        <w:pStyle w:val="ssPara2"/>
        <w:rPr>
          <w:color w:val="auto"/>
          <w:shd w:val="clear" w:color="auto" w:fill="auto"/>
        </w:rPr>
      </w:pPr>
      <w:r>
        <w:t xml:space="preserve">and, in this connection, the ACD may, inter alia, reject at its discretion any subscription for, sale or transfer of, Shares or any notice to </w:t>
      </w:r>
      <w:r w:rsidR="009F77FD">
        <w:t>[</w:t>
      </w:r>
      <w:r>
        <w:t>switch or</w:t>
      </w:r>
      <w:r w:rsidR="009F77FD">
        <w:t>]</w:t>
      </w:r>
      <w:r w:rsidR="00AD5133">
        <w:rPr>
          <w:vertAlign w:val="superscript"/>
        </w:rPr>
        <w:t>2</w:t>
      </w:r>
      <w:r>
        <w:t xml:space="preserve"> convert Shares given pursuant to Clause </w:t>
      </w:r>
      <w:r>
        <w:fldChar w:fldCharType="begin"/>
      </w:r>
      <w:r>
        <w:instrText xml:space="preserve"> REF _Ref95663367 \w \h </w:instrText>
      </w:r>
      <w:r>
        <w:fldChar w:fldCharType="separate"/>
      </w:r>
      <w:r w:rsidR="0011178A">
        <w:rPr>
          <w:cs/>
        </w:rPr>
        <w:t>‎</w:t>
      </w:r>
      <w:r w:rsidR="0011178A">
        <w:t>16</w:t>
      </w:r>
      <w:r>
        <w:fldChar w:fldCharType="end"/>
      </w:r>
      <w:r>
        <w:t>.</w:t>
      </w:r>
    </w:p>
    <w:p w:rsidR="004B2147" w14:paraId="06464272" w14:textId="64A32E9C">
      <w:pPr>
        <w:pStyle w:val="ssNoHeading2"/>
        <w:rPr>
          <w:color w:val="auto"/>
          <w:shd w:val="clear" w:color="auto" w:fill="auto"/>
        </w:rPr>
      </w:pPr>
      <w:bookmarkStart w:id="83" w:name="_Ref95174016"/>
      <w:r>
        <w:t>If it comes to the notice of the ACD that any Shares (“</w:t>
      </w:r>
      <w:r>
        <w:rPr>
          <w:u w:val="single"/>
        </w:rPr>
        <w:t>affected Shares</w:t>
      </w:r>
      <w:r>
        <w:t xml:space="preserve">”) have been acquired or are being held in each case whether beneficially or otherwise in any of the relevant circumstances or if it reasonably believes this to be the case the ACD may give notice to the holder of the affected Shares requiring the holder to transfer such Shares to a person who is qualified or entitled to own the same or to give a request in writing for the redemption or cancellation of such affected Shares in accordance with the </w:t>
      </w:r>
      <w:r w:rsidR="00171F2F">
        <w:t>Regulations.</w:t>
      </w:r>
      <w:r>
        <w:t xml:space="preserve"> </w:t>
      </w:r>
      <w:r w:rsidR="00171F2F">
        <w:t>I</w:t>
      </w:r>
      <w:r>
        <w:t xml:space="preserve">f any person upon whom such a notice is served pursuant to this Clause </w:t>
      </w:r>
      <w:r w:rsidR="00D35BAD">
        <w:fldChar w:fldCharType="begin"/>
      </w:r>
      <w:r w:rsidR="00D35BAD">
        <w:instrText xml:space="preserve"> REF _Ref102940178 \r \h </w:instrText>
      </w:r>
      <w:r w:rsidR="00D35BAD">
        <w:fldChar w:fldCharType="separate"/>
      </w:r>
      <w:r w:rsidR="0011178A">
        <w:rPr>
          <w:cs/>
        </w:rPr>
        <w:t>‎</w:t>
      </w:r>
      <w:r w:rsidR="0011178A">
        <w:t>17</w:t>
      </w:r>
      <w:r w:rsidR="00D35BAD">
        <w:fldChar w:fldCharType="end"/>
      </w:r>
      <w:r w:rsidR="00D35BAD">
        <w:t xml:space="preserve"> </w:t>
      </w:r>
      <w:r>
        <w:t xml:space="preserve">does not within thirty days after the date of such notice transfer their Shares to a person qualified to hold the same, or establish to the satisfaction of the ACD (whose judgement shall be final and binding) that they and any person on whose behalf they hold the affected Shares are qualified and entitled to hold the Shares, they shall be deemed upon the expiration of that thirty day period to have given a request in writing for the redemption or cancellation (at the discretion of the ACD) of the affected Shares pursuant to the </w:t>
      </w:r>
      <w:r w:rsidR="00171F2F">
        <w:t>Regulations</w:t>
      </w:r>
      <w:r>
        <w:t>.</w:t>
      </w:r>
      <w:bookmarkEnd w:id="83"/>
    </w:p>
    <w:p w:rsidR="004B2147" w14:paraId="656595B3" w14:textId="07B328CC">
      <w:pPr>
        <w:pStyle w:val="ssNoHeading2"/>
        <w:rPr>
          <w:color w:val="auto"/>
          <w:shd w:val="clear" w:color="auto" w:fill="auto"/>
        </w:rPr>
      </w:pPr>
      <w:r>
        <w:t xml:space="preserve">A person who becomes aware that they have acquired or hold </w:t>
      </w:r>
      <w:r w:rsidR="009F77FD">
        <w:t xml:space="preserve">affected </w:t>
      </w:r>
      <w:r>
        <w:t>Shares whether beneficially or otherwise in any of the relevant circumstances shall forthwith</w:t>
      </w:r>
      <w:r w:rsidR="008A7C55">
        <w:rPr>
          <w:bCs w:val="0"/>
        </w:rPr>
        <w:t xml:space="preserve">, unless they have already received a notice pursuant to Clause </w:t>
      </w:r>
      <w:r w:rsidR="008A7C55">
        <w:rPr>
          <w:bCs w:val="0"/>
        </w:rPr>
        <w:fldChar w:fldCharType="begin"/>
      </w:r>
      <w:r w:rsidR="008A7C55">
        <w:rPr>
          <w:bCs w:val="0"/>
        </w:rPr>
        <w:instrText xml:space="preserve"> REF _Ref95174016 \r \h </w:instrText>
      </w:r>
      <w:r w:rsidR="008A7C55">
        <w:rPr>
          <w:bCs w:val="0"/>
        </w:rPr>
        <w:fldChar w:fldCharType="separate"/>
      </w:r>
      <w:r w:rsidR="0011178A">
        <w:rPr>
          <w:bCs w:val="0"/>
          <w:cs/>
        </w:rPr>
        <w:t>‎</w:t>
      </w:r>
      <w:r w:rsidR="0011178A">
        <w:rPr>
          <w:bCs w:val="0"/>
        </w:rPr>
        <w:t>17.2</w:t>
      </w:r>
      <w:r w:rsidR="008A7C55">
        <w:rPr>
          <w:bCs w:val="0"/>
        </w:rPr>
        <w:fldChar w:fldCharType="end"/>
      </w:r>
      <w:r w:rsidR="008A7C55">
        <w:rPr>
          <w:bCs w:val="0"/>
        </w:rPr>
        <w:t>,</w:t>
      </w:r>
      <w:r>
        <w:t xml:space="preserve"> either transfer or procure the transfer of all the affected </w:t>
      </w:r>
      <w:r w:rsidR="00171F2F">
        <w:t xml:space="preserve">Shares </w:t>
      </w:r>
      <w:r>
        <w:t xml:space="preserve">to a person qualified to own the same or </w:t>
      </w:r>
      <w:r w:rsidR="00AF0F58">
        <w:t xml:space="preserve">give or </w:t>
      </w:r>
      <w:r>
        <w:t xml:space="preserve">procure that a request in writing is given for the redemption or cancellation of all the affected Shares pursuant to the </w:t>
      </w:r>
      <w:r w:rsidR="008A7C55">
        <w:t>Regulations</w:t>
      </w:r>
      <w:r>
        <w:t xml:space="preserve">. [Where the ACD reasonably considers that the relevant circumstance referred to in Clause </w:t>
      </w:r>
      <w:r w:rsidRPr="005D5E94">
        <w:rPr>
          <w:bCs w:val="0"/>
        </w:rPr>
        <w:fldChar w:fldCharType="begin"/>
      </w:r>
      <w:r>
        <w:instrText xml:space="preserve"> REF _Ref92231780  h \n</w:instrText>
      </w:r>
      <w:r w:rsidRPr="005D5E94">
        <w:rPr>
          <w:bCs w:val="0"/>
        </w:rPr>
        <w:fldChar w:fldCharType="separate"/>
      </w:r>
      <w:r w:rsidR="0011178A">
        <w:rPr>
          <w:cs/>
        </w:rPr>
        <w:t>‎</w:t>
      </w:r>
      <w:r w:rsidR="0011178A">
        <w:t>17.1</w:t>
      </w:r>
      <w:r w:rsidRPr="005D5E94">
        <w:rPr>
          <w:bCs w:val="0"/>
        </w:rPr>
        <w:fldChar w:fldCharType="end"/>
      </w:r>
      <w:r>
        <w:t xml:space="preserve"> is that a body corporate holds more than 10% of the Net Asset Value of the [</w:t>
      </w:r>
      <w:r w:rsidR="000831ED">
        <w:t>Company/</w:t>
      </w:r>
      <w:r>
        <w:t>Fund]</w:t>
      </w:r>
      <w:r w:rsidR="000831ED">
        <w:rPr>
          <w:vertAlign w:val="superscript"/>
        </w:rPr>
        <w:t>2</w:t>
      </w:r>
      <w:r>
        <w:t xml:space="preserve">, the ACD is entitled to delay any redemption or cancellation of </w:t>
      </w:r>
      <w:r w:rsidR="006C3D6F">
        <w:t>S</w:t>
      </w:r>
      <w:r>
        <w:t>hares</w:t>
      </w:r>
      <w:r w:rsidR="00176818">
        <w:t xml:space="preserve"> in accordance with Clause </w:t>
      </w:r>
      <w:r w:rsidR="00176818">
        <w:fldChar w:fldCharType="begin"/>
      </w:r>
      <w:r w:rsidR="00176818">
        <w:instrText xml:space="preserve"> REF _Ref92231780 \r \h </w:instrText>
      </w:r>
      <w:r w:rsidR="00176818">
        <w:fldChar w:fldCharType="separate"/>
      </w:r>
      <w:r w:rsidR="0011178A">
        <w:rPr>
          <w:cs/>
        </w:rPr>
        <w:t>‎</w:t>
      </w:r>
      <w:r w:rsidR="0011178A">
        <w:t>17.1</w:t>
      </w:r>
      <w:r w:rsidR="00176818">
        <w:fldChar w:fldCharType="end"/>
      </w:r>
      <w:r>
        <w:t xml:space="preserve"> if the ACD reasonably considers such action to be: (a) necessary in order to enable an orderly reduction of the holding to below 10%; and (b) in the interests of the Shareholders as a whole.]</w:t>
      </w:r>
      <w:r>
        <w:rPr>
          <w:rStyle w:val="EndnoteReference"/>
        </w:rPr>
        <w:endnoteReference w:id="26"/>
      </w:r>
    </w:p>
    <w:p w:rsidR="004B2147" w:rsidP="00D57A80" w14:paraId="7764745C" w14:textId="38663C35">
      <w:pPr>
        <w:pStyle w:val="Heading1"/>
        <w:rPr>
          <w:color w:val="auto"/>
          <w:shd w:val="clear" w:color="auto" w:fill="auto"/>
        </w:rPr>
      </w:pPr>
      <w:bookmarkStart w:id="84" w:name="_Toc80522065"/>
      <w:bookmarkStart w:id="85" w:name="_Toc119942042"/>
      <w:r>
        <w:t xml:space="preserve">Evidence of </w:t>
      </w:r>
      <w:bookmarkEnd w:id="84"/>
      <w:r>
        <w:t>Title to Shares – The Register</w:t>
      </w:r>
      <w:bookmarkEnd w:id="85"/>
    </w:p>
    <w:p w:rsidR="004B2147" w:rsidP="009D6162" w14:paraId="63D0F7F6" w14:textId="12A6B3E6">
      <w:pPr>
        <w:pStyle w:val="ssPara2"/>
        <w:numPr>
          <w:ilvl w:val="2"/>
          <w:numId w:val="51"/>
        </w:numPr>
        <w:rPr>
          <w:color w:val="auto"/>
          <w:shd w:val="clear" w:color="auto" w:fill="auto"/>
        </w:rPr>
      </w:pPr>
      <w:bookmarkStart w:id="86" w:name="_Ref92240964"/>
      <w:r>
        <w:t>Title to Shares shall be evidenced by an entry in the Register (“</w:t>
      </w:r>
      <w:r>
        <w:rPr>
          <w:u w:val="single"/>
        </w:rPr>
        <w:t>registered Shares</w:t>
      </w:r>
      <w:r>
        <w:t>”), and the Company shall not issue certificates to Shareholders. A statement of shareholding (“</w:t>
      </w:r>
      <w:r>
        <w:rPr>
          <w:u w:val="single"/>
        </w:rPr>
        <w:t>statement</w:t>
      </w:r>
      <w:r>
        <w:t xml:space="preserve">”) in respect of Shares shall be sent to a holder [at least once a year/upon any alteration in the number of </w:t>
      </w:r>
      <w:r w:rsidR="00782E43">
        <w:t xml:space="preserve">Shares </w:t>
      </w:r>
      <w:r>
        <w:t>to which the holder is entitled] in such form as the ACD may decide.</w:t>
      </w:r>
      <w:r w:rsidR="000F6F38">
        <w:t xml:space="preserve"> </w:t>
      </w:r>
      <w:r>
        <w:t>A statement shall not constitute a document of title to the Shares to which it refers.</w:t>
      </w:r>
      <w:r>
        <w:rPr>
          <w:rStyle w:val="EndnoteReference"/>
        </w:rPr>
        <w:endnoteReference w:id="27"/>
      </w:r>
      <w:bookmarkEnd w:id="86"/>
      <w:r>
        <w:t xml:space="preserve"> </w:t>
      </w:r>
    </w:p>
    <w:p w:rsidR="004B2147" w:rsidP="00D57A80" w14:paraId="1330859A" w14:textId="64A575A3">
      <w:pPr>
        <w:pStyle w:val="ssNoHeading2"/>
        <w:rPr>
          <w:color w:val="auto"/>
          <w:shd w:val="clear" w:color="auto" w:fill="auto"/>
        </w:rPr>
      </w:pPr>
      <w:r>
        <w:t xml:space="preserve">The person responsible for maintaining the Register from time to time will be entitled to charge for issuing any document recording, or for amending, an entry on the Register (other than on the issue or sale of Shares). </w:t>
      </w:r>
    </w:p>
    <w:p w:rsidR="00C13F01" w:rsidP="00D57A80" w14:paraId="570420ED" w14:textId="5B8E2EBD">
      <w:pPr>
        <w:pStyle w:val="Heading1"/>
        <w:rPr>
          <w:color w:val="auto"/>
          <w:shd w:val="clear" w:color="auto" w:fill="auto"/>
        </w:rPr>
      </w:pPr>
      <w:bookmarkStart w:id="87" w:name="_Toc119942043"/>
      <w:bookmarkStart w:id="88" w:name="_Toc80522067"/>
      <w:r>
        <w:t>Denominations of Shares</w:t>
      </w:r>
      <w:bookmarkEnd w:id="87"/>
    </w:p>
    <w:p w:rsidR="00C13F01" w:rsidRPr="00C13F01" w:rsidP="00C13F01" w14:paraId="78A3FF7E" w14:textId="442B7CD1">
      <w:pPr>
        <w:pStyle w:val="ssPara1"/>
        <w:rPr>
          <w:color w:val="auto"/>
          <w:shd w:val="clear" w:color="auto" w:fill="auto"/>
          <w:lang w:eastAsia="en-GB"/>
        </w:rPr>
      </w:pPr>
      <w:r w:rsidRPr="00C13F01">
        <w:rPr>
          <w:lang w:eastAsia="en-GB"/>
        </w:rPr>
        <w:t xml:space="preserve">The rights attaching to the </w:t>
      </w:r>
      <w:r>
        <w:rPr>
          <w:lang w:eastAsia="en-GB"/>
        </w:rPr>
        <w:t>S</w:t>
      </w:r>
      <w:r w:rsidRPr="00C13F01">
        <w:rPr>
          <w:lang w:eastAsia="en-GB"/>
        </w:rPr>
        <w:t xml:space="preserve">hares of all </w:t>
      </w:r>
      <w:r>
        <w:rPr>
          <w:lang w:eastAsia="en-GB"/>
        </w:rPr>
        <w:t>C</w:t>
      </w:r>
      <w:r w:rsidRPr="00C13F01">
        <w:rPr>
          <w:lang w:eastAsia="en-GB"/>
        </w:rPr>
        <w:t xml:space="preserve">lasses may be expressed in two denominations and, [in each of those </w:t>
      </w:r>
      <w:r>
        <w:rPr>
          <w:lang w:eastAsia="en-GB"/>
        </w:rPr>
        <w:t>C</w:t>
      </w:r>
      <w:r w:rsidRPr="00C13F01">
        <w:rPr>
          <w:lang w:eastAsia="en-GB"/>
        </w:rPr>
        <w:t xml:space="preserve">lasses], the proportion of a larger denomination share represented by a smaller denomination </w:t>
      </w:r>
      <w:r>
        <w:rPr>
          <w:lang w:eastAsia="en-GB"/>
        </w:rPr>
        <w:t>S</w:t>
      </w:r>
      <w:r w:rsidRPr="00C13F01">
        <w:rPr>
          <w:lang w:eastAsia="en-GB"/>
        </w:rPr>
        <w:t xml:space="preserve">hare shall be one [hundredth] [thousandth] [ten-thousandth] of the larger denomination </w:t>
      </w:r>
      <w:r>
        <w:rPr>
          <w:lang w:eastAsia="en-GB"/>
        </w:rPr>
        <w:t>S</w:t>
      </w:r>
      <w:r w:rsidRPr="00C13F01">
        <w:rPr>
          <w:lang w:eastAsia="en-GB"/>
        </w:rPr>
        <w:t>hare.</w:t>
      </w:r>
      <w:r>
        <w:rPr>
          <w:rStyle w:val="EndnoteReference"/>
          <w:lang w:eastAsia="en-GB"/>
        </w:rPr>
        <w:endnoteReference w:id="28"/>
      </w:r>
    </w:p>
    <w:p w:rsidR="004B2147" w:rsidP="00D57A80" w14:paraId="47821772" w14:textId="358C839D">
      <w:pPr>
        <w:pStyle w:val="Heading1"/>
        <w:rPr>
          <w:color w:val="auto"/>
          <w:shd w:val="clear" w:color="auto" w:fill="auto"/>
        </w:rPr>
      </w:pPr>
      <w:bookmarkStart w:id="89" w:name="_Toc119942044"/>
      <w:r>
        <w:t>Transfer and Transmission of Shares</w:t>
      </w:r>
      <w:bookmarkEnd w:id="88"/>
      <w:bookmarkEnd w:id="89"/>
    </w:p>
    <w:p w:rsidR="004B2147" w:rsidP="001C6945" w14:paraId="64CA5A96" w14:textId="197E6CD4">
      <w:pPr>
        <w:pStyle w:val="ssNoHeading2"/>
        <w:rPr>
          <w:color w:val="auto"/>
          <w:shd w:val="clear" w:color="auto" w:fill="auto"/>
        </w:rPr>
      </w:pPr>
      <w:r>
        <w:t>All transfers of registered Shares shall be effected by transfer in writing in any usual or common form or in any other form as may be approved by the ACD.</w:t>
      </w:r>
      <w:r w:rsidRPr="001C6945">
        <w:t xml:space="preserve"> </w:t>
      </w:r>
      <w:r>
        <w:t>The signature on the instrument of transfer may be affixed manually or electronically and may be an actual signature or a facsimile signature or any form of signature approved by the ACD. The ACD shall not be bound to enquire as to the genuineness of any signature. The transferor shall remain the holder of the Shares concerned until such time as the name of the transferee is entered in the Register in respect thereof.</w:t>
      </w:r>
    </w:p>
    <w:p w:rsidR="004B2147" w:rsidP="00D57A80" w14:paraId="42021518" w14:textId="01FC389D">
      <w:pPr>
        <w:pStyle w:val="ssNoHeading2"/>
        <w:rPr>
          <w:color w:val="auto"/>
          <w:shd w:val="clear" w:color="auto" w:fill="auto"/>
        </w:rPr>
      </w:pPr>
      <w:r>
        <w:t>No instrument of transfer may be given in respect of more than one Class of Shares.</w:t>
      </w:r>
    </w:p>
    <w:p w:rsidR="004B2147" w:rsidP="00D57A80" w14:paraId="64F00312" w14:textId="441490CA">
      <w:pPr>
        <w:pStyle w:val="ssNoHeading2"/>
        <w:rPr>
          <w:color w:val="auto"/>
          <w:shd w:val="clear" w:color="auto" w:fill="auto"/>
        </w:rPr>
      </w:pPr>
      <w:r>
        <w:t>In the case of a transfer to joint holders, the number of joint holders to whom a Share is to be transferred may not exceed four.</w:t>
      </w:r>
    </w:p>
    <w:p w:rsidR="004B2147" w:rsidP="00D57A80" w14:paraId="66B2C312" w14:textId="199611F1">
      <w:pPr>
        <w:pStyle w:val="ssNoHeading2"/>
        <w:rPr>
          <w:color w:val="auto"/>
          <w:shd w:val="clear" w:color="auto" w:fill="auto"/>
        </w:rPr>
      </w:pPr>
      <w:r>
        <w:t>Unless otherwise determined by the ACD, no transfer may result in either the transferor or the transferee holding fewer Shares of the Class concerned or Shares of such Class having a lesser aggregate value than any number or value as is stated in the Prospectus as the minimum number or value of Shares of that Class which may be held.</w:t>
      </w:r>
    </w:p>
    <w:p w:rsidR="004B2147" w:rsidP="00D57A80" w14:paraId="72F27B34" w14:textId="4DB4073F">
      <w:pPr>
        <w:pStyle w:val="ssNoHeading2"/>
        <w:rPr>
          <w:color w:val="auto"/>
          <w:spacing w:val="-2"/>
          <w:shd w:val="clear" w:color="auto" w:fill="auto"/>
        </w:rPr>
      </w:pPr>
      <w:r>
        <w:t>The Company may refuse to register a transfer of Shares unless there has been paid for the account of the Company, an amount determined by the ACD not exceeding the amount that would be derived by applying the rate of stamp duty reserve tax to the market value of the Shares being transferred. This Clause shall not apply to transfers excluded by law from a charge to stamp duty reserve tax.</w:t>
      </w:r>
    </w:p>
    <w:p w:rsidR="004B2147" w:rsidP="00D57A80" w14:paraId="5B6D68C8" w14:textId="3D21E4D1">
      <w:pPr>
        <w:pStyle w:val="ssNoHeading2"/>
        <w:rPr>
          <w:color w:val="auto"/>
          <w:shd w:val="clear" w:color="auto" w:fill="auto"/>
        </w:rPr>
      </w:pPr>
      <w:r>
        <w:t>Any person becoming entitled to a Share or Shares in consequence of the death or bankruptcy of a Shareholder or otherwise by operation of law may, subject as provided below and upon such evidence being produced as may from time to time be lawfully required by the ACD as to their entitlement, either be registered themselves as the holder of the Share or Shares or elect to have some person nominated by them registered as the transferee thereof.</w:t>
      </w:r>
      <w:r w:rsidR="000F6F38">
        <w:t xml:space="preserve"> </w:t>
      </w:r>
      <w:r>
        <w:t>If the person so becoming entitled elects to be registered themselves, they shall deliver or send to the Company a notice in writing signed by them stating that they so elect.</w:t>
      </w:r>
      <w:r w:rsidR="000F6F38">
        <w:t xml:space="preserve"> </w:t>
      </w:r>
      <w:r>
        <w:t>If they shall elect to have their nominee registered, they shall signify their election by signing and delivering or sending to the Company an instrument of transfer of such Share or Shares in favour of their nominee.</w:t>
      </w:r>
      <w:bookmarkStart w:id="90" w:name="_Ref517526477"/>
      <w:bookmarkEnd w:id="90"/>
    </w:p>
    <w:p w:rsidR="004B2147" w:rsidP="0011447B" w14:paraId="27694C39" w14:textId="0CD615FB">
      <w:pPr>
        <w:pStyle w:val="ssNoHeading2"/>
        <w:rPr>
          <w:color w:val="auto"/>
          <w:shd w:val="clear" w:color="auto" w:fill="auto"/>
        </w:rPr>
      </w:pPr>
      <w:r>
        <w:t xml:space="preserve">All the limitations, restrictions and provisions of this Instrument relating to the right to transfer and the registration of transfers of Shares shall be applicable to any notice or instrument of transfer given or made pursuant to Clause </w:t>
      </w:r>
      <w:r>
        <w:fldChar w:fldCharType="begin"/>
      </w:r>
      <w:r>
        <w:instrText xml:space="preserve"> REF _Ref517526477 \r \h </w:instrText>
      </w:r>
      <w:r>
        <w:fldChar w:fldCharType="separate"/>
      </w:r>
      <w:r w:rsidR="0011178A">
        <w:rPr>
          <w:cs/>
        </w:rPr>
        <w:t>‎</w:t>
      </w:r>
      <w:r w:rsidR="0011178A">
        <w:t>20.6</w:t>
      </w:r>
      <w:r>
        <w:fldChar w:fldCharType="end"/>
      </w:r>
      <w:r>
        <w:t xml:space="preserve"> as if the death or bankruptcy of the Shareholder or other event giving rise to the transmission had not occurred and the notice or instrument of transfer were an instrument of transfer signed by that Shareholder.</w:t>
      </w:r>
    </w:p>
    <w:p w:rsidR="004B2147" w14:paraId="0D9DF815" w14:textId="2A036E51">
      <w:pPr>
        <w:pStyle w:val="ssNoHeading2"/>
        <w:rPr>
          <w:color w:val="auto"/>
          <w:shd w:val="clear" w:color="auto" w:fill="auto"/>
        </w:rPr>
      </w:pPr>
      <w:r>
        <w:t>A person becoming entitled to a Share or Shares in consequence of the death or bankruptcy of a Shareholder or otherwise by operation of law shall (upon such evidence being produced as may from time to time be lawfully required by the ACD as to their entitlement) be entitled to receive and may give a discharge for any income distributions or other monies payable in respect of the Share or Shares, but they shall not be entitled in respect of the same to receive notices of or to attend or vote at general meetings of the Company or, save as stated above, to exercise in respect of the Share or Shares any of the rights or privileges of a Shareholder until they shall have become registered as the holder thereof.</w:t>
      </w:r>
      <w:r w:rsidR="000F6F38">
        <w:t xml:space="preserve"> </w:t>
      </w:r>
      <w:r>
        <w:t>The ACD may at any time give notice requiring any such person to elect either to be registered themselves or to transfer the Share or Shares in question and if the notice is not complied with within sixty days the ACD may then withhold payment of any income distributions and other monies payable in respect of the same until the requirements of the notice have been complied with.</w:t>
      </w:r>
    </w:p>
    <w:p w:rsidR="004B2147" w:rsidP="00D57A80" w14:paraId="0042FB26" w14:textId="77777777">
      <w:pPr>
        <w:pStyle w:val="Heading1"/>
        <w:rPr>
          <w:color w:val="auto"/>
          <w:shd w:val="clear" w:color="auto" w:fill="auto"/>
        </w:rPr>
      </w:pPr>
      <w:bookmarkStart w:id="91" w:name="_Toc80522068"/>
      <w:bookmarkStart w:id="92" w:name="_Toc119942045"/>
      <w:r>
        <w:t>General Meetings</w:t>
      </w:r>
      <w:bookmarkEnd w:id="91"/>
      <w:r>
        <w:rPr>
          <w:rStyle w:val="EndnoteReference"/>
          <w:b w:val="0"/>
          <w:bCs w:val="0"/>
          <w:u w:val="none"/>
        </w:rPr>
        <w:endnoteReference w:id="29"/>
      </w:r>
      <w:bookmarkEnd w:id="92"/>
    </w:p>
    <w:p w:rsidR="004B2147" w:rsidP="00A9030A" w14:paraId="24A99927" w14:textId="7BDCC3D9">
      <w:pPr>
        <w:pStyle w:val="ssNoHeading2"/>
        <w:numPr>
          <w:ilvl w:val="0"/>
          <w:numId w:val="0"/>
        </w:numPr>
        <w:ind w:left="709"/>
        <w:rPr>
          <w:color w:val="auto"/>
          <w:shd w:val="clear" w:color="auto" w:fill="auto"/>
        </w:rPr>
      </w:pPr>
      <w:r>
        <w:t>All general meetings shall be called Extraordinary General Meetings.</w:t>
      </w:r>
      <w:r>
        <w:rPr>
          <w:rStyle w:val="EndnoteReference"/>
        </w:rPr>
        <w:endnoteReference w:id="30"/>
      </w:r>
      <w:r w:rsidR="001339CF">
        <w:t xml:space="preserve"> The Company will not hold annual general meetings.</w:t>
      </w:r>
    </w:p>
    <w:p w:rsidR="004B2147" w:rsidP="00D57A80" w14:paraId="1965376D" w14:textId="30616767">
      <w:pPr>
        <w:pStyle w:val="Heading1"/>
        <w:rPr>
          <w:color w:val="auto"/>
          <w:shd w:val="clear" w:color="auto" w:fill="auto"/>
        </w:rPr>
      </w:pPr>
      <w:bookmarkStart w:id="93" w:name="_Toc80522069"/>
      <w:bookmarkStart w:id="94" w:name="_Toc119942046"/>
      <w:r>
        <w:t>Proceedings at General Meetings</w:t>
      </w:r>
      <w:bookmarkEnd w:id="93"/>
      <w:bookmarkEnd w:id="94"/>
    </w:p>
    <w:p w:rsidR="00EC2CA6" w:rsidP="00A37E27" w14:paraId="2CB62CE0" w14:textId="27CCFE8D">
      <w:pPr>
        <w:pStyle w:val="ssNoHeading2"/>
        <w:rPr>
          <w:color w:val="auto"/>
          <w:shd w:val="clear" w:color="auto" w:fill="auto"/>
        </w:rPr>
      </w:pPr>
      <w:r>
        <w:t xml:space="preserve">The provisions of this Instrument relating to proceedings at meetings shall apply equally to </w:t>
      </w:r>
      <w:r w:rsidR="006A3C27">
        <w:t>[</w:t>
      </w:r>
      <w:r>
        <w:t>a meeting of holders of Shares of a Fund and to a meeting of holders of Shares of a particular Class of Shares of a Fund or of</w:t>
      </w:r>
      <w:r w:rsidR="006A3C27">
        <w:t>]</w:t>
      </w:r>
      <w:r w:rsidRPr="006A3C27" w:rsidR="006A3C27">
        <w:rPr>
          <w:vertAlign w:val="superscript"/>
        </w:rPr>
        <w:t>2</w:t>
      </w:r>
      <w:r>
        <w:t xml:space="preserve"> a particular Class of Shares of the Company as </w:t>
      </w:r>
      <w:r>
        <w:t xml:space="preserve">they apply to a general meeting of the Company. References in </w:t>
      </w:r>
      <w:r w:rsidR="000A1DAB">
        <w:t>this Instrument</w:t>
      </w:r>
      <w:r>
        <w:t xml:space="preserve"> to a “general meeting” shall mean, according to the context, the appropriate type of meeting of Shareholders. </w:t>
      </w:r>
    </w:p>
    <w:p w:rsidR="00EC2CA6" w:rsidP="00A37E27" w14:paraId="63E462A4" w14:textId="77777777">
      <w:pPr>
        <w:pStyle w:val="ssNoHeading2"/>
        <w:rPr>
          <w:color w:val="auto"/>
          <w:shd w:val="clear" w:color="auto" w:fill="auto"/>
        </w:rPr>
      </w:pPr>
      <w:r>
        <w:t>General meetings shall be convened and adjourned, and their proceedings and resolutions shall be governed, in accordance with the FCA Rules and the provisions of this Instrument.</w:t>
      </w:r>
    </w:p>
    <w:p w:rsidR="00EC2CA6" w:rsidP="00A37E27" w14:paraId="4BA9228A" w14:textId="598F66DB">
      <w:pPr>
        <w:pStyle w:val="ssNoHeading2"/>
        <w:rPr>
          <w:color w:val="auto"/>
          <w:shd w:val="clear" w:color="auto" w:fill="auto"/>
        </w:rPr>
      </w:pPr>
      <w:r>
        <w:t>Prior to each general meeting, the Depositary shall nominate an individual to act as chair, and if that individual is not present within [</w:t>
      </w:r>
      <w:r w:rsidRPr="00800003">
        <w:t>fifteen</w:t>
      </w:r>
      <w:r>
        <w:t>]/[</w:t>
      </w:r>
      <w:r w:rsidRPr="00800003">
        <w:t>five</w:t>
      </w:r>
      <w:r>
        <w:t>] minutes (which shall be deemed to be a reasonable time) after the time fixed for the start of the meeting or is not willing and able to act, the Shareholders present must choose one of their number to be chair of the meeting.</w:t>
      </w:r>
    </w:p>
    <w:p w:rsidR="00EC2CA6" w:rsidP="00A37E27" w14:paraId="329EF6BA" w14:textId="74DFCFCE">
      <w:pPr>
        <w:pStyle w:val="ssNoHeading2"/>
        <w:rPr>
          <w:color w:val="auto"/>
          <w:shd w:val="clear" w:color="auto" w:fill="auto"/>
        </w:rPr>
      </w:pPr>
      <w:r w:rsidRPr="00267ABB">
        <w:t xml:space="preserve">No business may be transacted at a general meeting unless a quorum is present.  The absence of a quorum does not prevent the appointment of a chair in accordance with this </w:t>
      </w:r>
      <w:r>
        <w:t>Instrument</w:t>
      </w:r>
      <w:r w:rsidRPr="00267ABB">
        <w:t xml:space="preserve">, which shall not be treated as part of the business of the meeting.  The quorum required to conduct business at a general meeting is two </w:t>
      </w:r>
      <w:r>
        <w:t>Share</w:t>
      </w:r>
      <w:r w:rsidRPr="00267ABB">
        <w:t>holders, present in person or by proxy.</w:t>
      </w:r>
    </w:p>
    <w:p w:rsidR="00EC2CA6" w:rsidRPr="00267ABB" w:rsidP="00A37E27" w14:paraId="176C1B4F" w14:textId="409FB52C">
      <w:pPr>
        <w:pStyle w:val="ssNoHeading2"/>
        <w:rPr>
          <w:color w:val="auto"/>
          <w:shd w:val="clear" w:color="auto" w:fill="auto"/>
        </w:rPr>
      </w:pPr>
      <w:bookmarkStart w:id="95" w:name="_Ref116304860"/>
      <w:r w:rsidRPr="00267ABB">
        <w:t xml:space="preserve">If a quorum is not present within </w:t>
      </w:r>
      <w:r>
        <w:t>[</w:t>
      </w:r>
      <w:r w:rsidRPr="00800003">
        <w:t>fifteen</w:t>
      </w:r>
      <w:r>
        <w:t>]/[</w:t>
      </w:r>
      <w:r w:rsidRPr="00800003">
        <w:t>five</w:t>
      </w:r>
      <w:r>
        <w:t xml:space="preserve">] </w:t>
      </w:r>
      <w:r w:rsidRPr="00267ABB">
        <w:t xml:space="preserve">minutes (which shall be deemed to be a reasonable time) after the time fixed for the start of the meeting or if there is no longer a quorum present at any time during the meeting, the meeting, if convened on the requisition of </w:t>
      </w:r>
      <w:r>
        <w:t>Shareholders</w:t>
      </w:r>
      <w:r w:rsidRPr="00267ABB">
        <w:t xml:space="preserve">, is dissolved.  In any other case it stands adjourned to such other day and time (being not less than seven nor more than 28 days after the day and time for the meeting) and place as the chair decides.  If at an adjourned meeting under this </w:t>
      </w:r>
      <w:r w:rsidRPr="00A37E27" w:rsidR="000A1DAB">
        <w:t>Clause</w:t>
      </w:r>
      <w:r w:rsidRPr="000A1DAB">
        <w:t xml:space="preserve"> </w:t>
      </w:r>
      <w:r w:rsidRPr="00A37E27" w:rsidR="000A1DAB">
        <w:fldChar w:fldCharType="begin"/>
      </w:r>
      <w:r w:rsidRPr="00A37E27" w:rsidR="000A1DAB">
        <w:instrText xml:space="preserve"> REF _Ref116304860 \r \h </w:instrText>
      </w:r>
      <w:r w:rsidR="000A1DAB">
        <w:instrText xml:space="preserve"> \* MERGEFORMAT </w:instrText>
      </w:r>
      <w:r w:rsidRPr="00A37E27" w:rsidR="000A1DAB">
        <w:fldChar w:fldCharType="separate"/>
      </w:r>
      <w:r w:rsidR="0011178A">
        <w:rPr>
          <w:cs/>
        </w:rPr>
        <w:t>‎</w:t>
      </w:r>
      <w:r w:rsidR="0011178A">
        <w:t>22.5</w:t>
      </w:r>
      <w:r w:rsidRPr="00A37E27" w:rsidR="000A1DAB">
        <w:fldChar w:fldCharType="end"/>
      </w:r>
      <w:r w:rsidRPr="00267ABB">
        <w:t xml:space="preserve"> a quorum is not present within </w:t>
      </w:r>
      <w:r>
        <w:t>[</w:t>
      </w:r>
      <w:r w:rsidRPr="00800003">
        <w:t>fifteen</w:t>
      </w:r>
      <w:r>
        <w:t>]/[</w:t>
      </w:r>
      <w:r w:rsidRPr="00800003">
        <w:t>five</w:t>
      </w:r>
      <w:r>
        <w:t xml:space="preserve">] </w:t>
      </w:r>
      <w:r w:rsidRPr="00267ABB">
        <w:t>minutes (which shall be deemed to be a reasonable time) after the time fixed for the start of the meeting, one person entitled to be counted in a quorum shall constitute a quorum and if there is no such person the meeting is dissolved.</w:t>
      </w:r>
      <w:bookmarkEnd w:id="95"/>
    </w:p>
    <w:p w:rsidR="00EC2CA6" w:rsidP="00A37E27" w14:paraId="29606218" w14:textId="12BED136">
      <w:pPr>
        <w:pStyle w:val="ssNoHeading2"/>
        <w:rPr>
          <w:color w:val="auto"/>
          <w:shd w:val="clear" w:color="auto" w:fill="auto"/>
        </w:rPr>
      </w:pPr>
      <w:r>
        <w:t xml:space="preserve">The chair of any general meeting at which a quorum is present may with the consent of the meeting (and shall if so directed by the meeting) adjourn the meeting from time to time (or for an indefinite period) and from place to place, but no business shall be transacted at any adjourned meeting except business which might lawfully have been transacted at the meeting from which the adjournment took place. Where a meeting is adjourned without agreement as to the date, time and place for the adjourned meeting, the date, time and place for the adjourned meeting shall be fixed by the </w:t>
      </w:r>
      <w:r w:rsidR="00FD429E">
        <w:t>ACD</w:t>
      </w:r>
      <w:r>
        <w:t>. When a meeting is adjourned for thirty days or more or for an indefinite period, not less than seven days' notice of the adjourned meeting shall be given in like manner as in the case of the original meeting.</w:t>
      </w:r>
    </w:p>
    <w:p w:rsidR="00EC2CA6" w:rsidP="00A37E27" w14:paraId="719FF5A1" w14:textId="145079B7">
      <w:pPr>
        <w:pStyle w:val="ssNoHeading2"/>
        <w:rPr>
          <w:color w:val="auto"/>
          <w:shd w:val="clear" w:color="auto" w:fill="auto"/>
        </w:rPr>
      </w:pPr>
      <w:r>
        <w:t xml:space="preserve">A meeting of </w:t>
      </w:r>
      <w:r w:rsidR="00FD429E">
        <w:t>Share</w:t>
      </w:r>
      <w:r w:rsidRPr="00267ABB">
        <w:t>holders</w:t>
      </w:r>
      <w:r>
        <w:t xml:space="preserve"> duly convened and held shall have the power to decide any matter (including, without limitation, the suspension or curtailment of the </w:t>
      </w:r>
      <w:r w:rsidR="00FD429E">
        <w:t>ACD</w:t>
      </w:r>
      <w:r>
        <w:t xml:space="preserve">’s powers) by the passing of the appropriate resolution, subject to: (i) the </w:t>
      </w:r>
      <w:r w:rsidRPr="00FD429E">
        <w:t>Regulations</w:t>
      </w:r>
      <w:r>
        <w:t xml:space="preserve">; and (ii) in the case of a Class meeting </w:t>
      </w:r>
      <w:r w:rsidR="006A3C27">
        <w:t>[</w:t>
      </w:r>
      <w:r>
        <w:t>or Fund meeting</w:t>
      </w:r>
      <w:r w:rsidR="006A3C27">
        <w:t>]</w:t>
      </w:r>
      <w:r w:rsidRPr="006A3C27" w:rsidR="006A3C27">
        <w:rPr>
          <w:vertAlign w:val="superscript"/>
        </w:rPr>
        <w:t>2</w:t>
      </w:r>
      <w:r>
        <w:t xml:space="preserve">, any rights in relation to the matter in question which </w:t>
      </w:r>
      <w:r w:rsidR="00FD429E">
        <w:t>Share</w:t>
      </w:r>
      <w:r w:rsidRPr="00267ABB">
        <w:t>holders</w:t>
      </w:r>
      <w:r>
        <w:t xml:space="preserve"> of other Classes </w:t>
      </w:r>
      <w:r w:rsidR="006A3C27">
        <w:t>[</w:t>
      </w:r>
      <w:r>
        <w:t>or Funds</w:t>
      </w:r>
      <w:r w:rsidR="006A3C27">
        <w:t>]</w:t>
      </w:r>
      <w:r w:rsidRPr="006A3C27" w:rsidR="006A3C27">
        <w:rPr>
          <w:vertAlign w:val="superscript"/>
        </w:rPr>
        <w:t>2</w:t>
      </w:r>
      <w:r>
        <w:t xml:space="preserve"> may have.</w:t>
      </w:r>
    </w:p>
    <w:p w:rsidR="00EC2CA6" w:rsidP="00A37E27" w14:paraId="209F0332" w14:textId="173F8BC6">
      <w:pPr>
        <w:pStyle w:val="ssNoHeading2"/>
        <w:rPr>
          <w:color w:val="auto"/>
          <w:shd w:val="clear" w:color="auto" w:fill="auto"/>
        </w:rPr>
      </w:pPr>
      <w:r>
        <w:t xml:space="preserve">The Depositary shall be entitled to appoint a representative to attend and speak on its behalf at each meeting, and shall be entitled to convene such a meeting. In addition to its rights under the Regulations, the Depositary shall be entitled to receive notices of, and other communications relating to, any general meetings of the </w:t>
      </w:r>
      <w:r w:rsidR="00FD429E">
        <w:t>Company</w:t>
      </w:r>
      <w:r w:rsidR="006A3C27">
        <w:t>[</w:t>
      </w:r>
      <w:r>
        <w:t xml:space="preserve">, a meeting of those holding </w:t>
      </w:r>
      <w:r w:rsidR="00FD429E">
        <w:t>Shares</w:t>
      </w:r>
      <w:r>
        <w:t xml:space="preserve"> of a particular Class of </w:t>
      </w:r>
      <w:r w:rsidR="00FD429E">
        <w:t>Shares</w:t>
      </w:r>
      <w:r>
        <w:t xml:space="preserve"> of a Fund</w:t>
      </w:r>
      <w:r w:rsidR="006A3C27">
        <w:t>]</w:t>
      </w:r>
      <w:r w:rsidRPr="006A3C27" w:rsidR="006A3C27">
        <w:rPr>
          <w:vertAlign w:val="superscript"/>
        </w:rPr>
        <w:t>2</w:t>
      </w:r>
      <w:r>
        <w:t xml:space="preserve"> or a particular Class of </w:t>
      </w:r>
      <w:r w:rsidR="00FD429E">
        <w:t>Shares</w:t>
      </w:r>
      <w:r>
        <w:t xml:space="preserve"> of the </w:t>
      </w:r>
      <w:r w:rsidR="00FD429E">
        <w:t>Company</w:t>
      </w:r>
      <w:r>
        <w:t>.</w:t>
      </w:r>
    </w:p>
    <w:p w:rsidR="00EC2CA6" w:rsidP="00EC2CA6" w14:paraId="23C8AB58" w14:textId="0B4DDD6A">
      <w:pPr>
        <w:pStyle w:val="ssNoHeading2"/>
        <w:rPr>
          <w:color w:val="auto"/>
          <w:shd w:val="clear" w:color="auto" w:fill="auto"/>
        </w:rPr>
      </w:pPr>
      <w:r>
        <w:t xml:space="preserve">The chair of a general meeting may take any action they consider appropriate for, for example, the safety of people attending a general meeting, the proper and orderly conduct of the general meeting or in order to reflect the wishes of the majority. They may, for </w:t>
      </w:r>
      <w:r>
        <w:t xml:space="preserve">example, require any people to prove who they are, carry out security searches, and stop certain things being taken into the meeting. The chair may on reasonable grounds refuse to allow any person into a meeting, or may arrange for any person who refuses to comply with any reasonable requirements imposed under this </w:t>
      </w:r>
      <w:r w:rsidR="000A1DAB">
        <w:t>Clause</w:t>
      </w:r>
      <w:r>
        <w:t xml:space="preserve"> to be removed from a meeting. The </w:t>
      </w:r>
      <w:r w:rsidR="00FD429E">
        <w:t>ACD</w:t>
      </w:r>
      <w:r>
        <w:t xml:space="preserve"> may arrange for any people whom they consider cannot be seated in the main meeting room (where the chair will be) to attend and take part in a general meeting in an overflow room or rooms. Any overflow room will have a live video link from the main room, and a two way sound link. The notice of the meeting need not give details of any arrangements under this </w:t>
      </w:r>
      <w:r w:rsidR="000A1DAB">
        <w:t>Clause</w:t>
      </w:r>
      <w:r>
        <w:t xml:space="preserve">. The </w:t>
      </w:r>
      <w:r w:rsidR="00FD429E">
        <w:t>ACD</w:t>
      </w:r>
      <w:r>
        <w:t xml:space="preserve"> may decide how to divide people between the main room and any overflow room. If any overflow room is used, the meeting will be treated as being held, and taking place, in the main room.</w:t>
      </w:r>
    </w:p>
    <w:p w:rsidR="0020008E" w:rsidP="0020008E" w14:paraId="2B46E0F8" w14:textId="01723BAE">
      <w:pPr>
        <w:pStyle w:val="ssNoHeading2"/>
        <w:rPr>
          <w:color w:val="auto"/>
          <w:shd w:val="clear" w:color="auto" w:fill="auto"/>
        </w:rPr>
      </w:pPr>
      <w:r>
        <w:t xml:space="preserve">A resolution put to the vote of a general meeting of the Company </w:t>
      </w:r>
      <w:r w:rsidR="006A3C27">
        <w:t>[</w:t>
      </w:r>
      <w:r>
        <w:t>or any Fund</w:t>
      </w:r>
      <w:r w:rsidR="006A3C27">
        <w:t>]</w:t>
      </w:r>
      <w:r w:rsidRPr="006A3C27" w:rsidR="006A3C27">
        <w:rPr>
          <w:vertAlign w:val="superscript"/>
        </w:rPr>
        <w:t>2</w:t>
      </w:r>
      <w:r>
        <w:t xml:space="preserve"> or Class must be decided on a show of hands unless a poll is (before or on the declaration of the result of the show of hands) demanded by:</w:t>
      </w:r>
    </w:p>
    <w:p w:rsidR="0020008E" w:rsidRPr="00A37E27" w:rsidP="00A37E27" w14:paraId="59314283" w14:textId="77777777">
      <w:pPr>
        <w:pStyle w:val="Heading3"/>
        <w:rPr>
          <w:b w:val="0"/>
          <w:bCs w:val="0"/>
          <w:color w:val="auto"/>
          <w:shd w:val="clear" w:color="auto" w:fill="auto"/>
        </w:rPr>
      </w:pPr>
      <w:r w:rsidRPr="00A37E27">
        <w:rPr>
          <w:b w:val="0"/>
          <w:bCs w:val="0"/>
        </w:rPr>
        <w:t xml:space="preserve">the chair of the meeting; </w:t>
      </w:r>
    </w:p>
    <w:p w:rsidR="0020008E" w:rsidRPr="00A37E27" w:rsidP="00A37E27" w14:paraId="51D1932D" w14:textId="7392F60A">
      <w:pPr>
        <w:pStyle w:val="Heading3"/>
        <w:rPr>
          <w:b w:val="0"/>
          <w:bCs w:val="0"/>
          <w:color w:val="auto"/>
          <w:shd w:val="clear" w:color="auto" w:fill="auto"/>
        </w:rPr>
      </w:pPr>
      <w:r w:rsidRPr="00A37E27">
        <w:rPr>
          <w:b w:val="0"/>
          <w:bCs w:val="0"/>
        </w:rPr>
        <w:t xml:space="preserve">not less than two </w:t>
      </w:r>
      <w:r>
        <w:rPr>
          <w:b w:val="0"/>
          <w:bCs w:val="0"/>
        </w:rPr>
        <w:t>Share</w:t>
      </w:r>
      <w:r w:rsidRPr="00A37E27">
        <w:rPr>
          <w:b w:val="0"/>
          <w:bCs w:val="0"/>
        </w:rPr>
        <w:t>holders; or</w:t>
      </w:r>
    </w:p>
    <w:p w:rsidR="0020008E" w:rsidRPr="00A37E27" w:rsidP="00A37E27" w14:paraId="7007FB4A" w14:textId="77777777">
      <w:pPr>
        <w:pStyle w:val="Heading3"/>
        <w:rPr>
          <w:b w:val="0"/>
          <w:bCs w:val="0"/>
          <w:color w:val="auto"/>
          <w:shd w:val="clear" w:color="auto" w:fill="auto"/>
        </w:rPr>
      </w:pPr>
      <w:r w:rsidRPr="00A37E27">
        <w:rPr>
          <w:b w:val="0"/>
          <w:bCs w:val="0"/>
        </w:rPr>
        <w:t xml:space="preserve">the Depositary. </w:t>
      </w:r>
    </w:p>
    <w:p w:rsidR="0020008E" w:rsidP="0020008E" w14:paraId="7D402CD5" w14:textId="40C34AC5">
      <w:pPr>
        <w:pStyle w:val="ssNoHeading2"/>
        <w:rPr>
          <w:color w:val="auto"/>
          <w:shd w:val="clear" w:color="auto" w:fill="auto"/>
        </w:rPr>
      </w:pPr>
      <w:r>
        <w:t>A demand for a poll: (i) by a proxy shall be deemed to be a demand by the Shareholder appointing the proxy; (ii) may be withdrawn only with the approval of the chair; and (iii) shall not prevent the continuance of the meeting for the transaction of any business other than the question on which the poll has been demanded.</w:t>
      </w:r>
    </w:p>
    <w:p w:rsidR="0020008E" w:rsidP="0020008E" w14:paraId="2204D766" w14:textId="05188FA2">
      <w:pPr>
        <w:pStyle w:val="ssNoHeading2"/>
        <w:rPr>
          <w:color w:val="auto"/>
          <w:shd w:val="clear" w:color="auto" w:fill="auto"/>
        </w:rPr>
      </w:pPr>
      <w:r>
        <w:t>The chair must demand a poll if requested to do so by the ACD.</w:t>
      </w:r>
    </w:p>
    <w:p w:rsidR="0020008E" w:rsidP="0020008E" w14:paraId="2EC82CD0" w14:textId="77777777">
      <w:pPr>
        <w:pStyle w:val="ssNoHeading2"/>
        <w:rPr>
          <w:color w:val="auto"/>
          <w:shd w:val="clear" w:color="auto" w:fill="auto"/>
        </w:rPr>
      </w:pPr>
      <w:r>
        <w:t>A poll demanded by the chair or on a question of adjournment shall be taken immediately.  Any other poll shall be taken either immediately or at such subsequent time (not being more than thirty days from the date of the meeting) and place and in such manner (including by post) as the chair may direct, and no notice need be given of a poll not taken immediately.</w:t>
      </w:r>
    </w:p>
    <w:p w:rsidR="0020008E" w:rsidP="0020008E" w14:paraId="506BE959" w14:textId="77777777">
      <w:pPr>
        <w:pStyle w:val="ssNoHeading2"/>
        <w:rPr>
          <w:color w:val="auto"/>
          <w:shd w:val="clear" w:color="auto" w:fill="auto"/>
        </w:rPr>
      </w:pPr>
      <w:r>
        <w:t xml:space="preserve">Unless a poll is required, a declaration by the chair of the meeting that a resolution has been carried, or carried unanimously, or by a particular majority, or lost, and an entry to that effect in the minute book or computer record of proceedings, shall be conclusive evidence of that fact without proof of the number or proportion of the votes recorded for or against such resolution. </w:t>
      </w:r>
    </w:p>
    <w:p w:rsidR="0020008E" w:rsidRPr="00EC2CA6" w:rsidP="0020008E" w14:paraId="6C93DE17" w14:textId="56E3E79A">
      <w:pPr>
        <w:pStyle w:val="ssNoHeading2"/>
        <w:rPr>
          <w:color w:val="auto"/>
          <w:shd w:val="clear" w:color="auto" w:fill="auto"/>
        </w:rPr>
      </w:pPr>
      <w:r>
        <w:t>Where a poll is taken, it shall be taken in such a manner (including the use of ballot papers or electronic or computer voting systems) as the chair may direct and the result of the poll shall be deemed to be the resolution of the meeting at which the poll was demanded.  The chair may (and, if so directed by the meeting, shall) appoint scrutineers and may adjourn the meeting to some place and time fixed by the chair for the purpose of declaring the result of the poll.</w:t>
      </w:r>
    </w:p>
    <w:p w:rsidR="004B2147" w:rsidP="00D57A80" w14:paraId="2CFF4EA9" w14:textId="4865F572">
      <w:pPr>
        <w:pStyle w:val="Heading1"/>
        <w:rPr>
          <w:color w:val="auto"/>
          <w:shd w:val="clear" w:color="auto" w:fill="auto"/>
        </w:rPr>
      </w:pPr>
      <w:bookmarkStart w:id="96" w:name="_Toc116649428"/>
      <w:bookmarkStart w:id="97" w:name="_Toc116649429"/>
      <w:bookmarkStart w:id="98" w:name="_Toc116649430"/>
      <w:bookmarkStart w:id="99" w:name="_Toc116649431"/>
      <w:bookmarkStart w:id="100" w:name="_Toc116649432"/>
      <w:bookmarkStart w:id="101" w:name="_Toc116649433"/>
      <w:bookmarkStart w:id="102" w:name="_Toc116649434"/>
      <w:bookmarkStart w:id="103" w:name="_Toc116649435"/>
      <w:bookmarkStart w:id="104" w:name="_Toc116649436"/>
      <w:bookmarkStart w:id="105" w:name="_Toc116649437"/>
      <w:bookmarkStart w:id="106" w:name="_Toc116649438"/>
      <w:bookmarkStart w:id="107" w:name="_Toc116649439"/>
      <w:bookmarkStart w:id="108" w:name="_Toc116649440"/>
      <w:bookmarkStart w:id="109" w:name="_Toc116649441"/>
      <w:bookmarkStart w:id="110" w:name="_Toc116649442"/>
      <w:bookmarkStart w:id="111" w:name="_Toc116649443"/>
      <w:bookmarkStart w:id="112" w:name="_Toc116649444"/>
      <w:bookmarkStart w:id="113" w:name="_Toc116649445"/>
      <w:bookmarkStart w:id="114" w:name="_Toc80522070"/>
      <w:bookmarkStart w:id="115" w:name="_Toc119942047"/>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t xml:space="preserve">Voting </w:t>
      </w:r>
      <w:bookmarkEnd w:id="114"/>
      <w:r>
        <w:t>Rights</w:t>
      </w:r>
      <w:r>
        <w:rPr>
          <w:rStyle w:val="EndnoteReference"/>
          <w:b w:val="0"/>
          <w:bCs w:val="0"/>
          <w:u w:val="none"/>
        </w:rPr>
        <w:endnoteReference w:id="31"/>
      </w:r>
      <w:bookmarkEnd w:id="115"/>
    </w:p>
    <w:p w:rsidR="0020008E" w:rsidP="0020008E" w14:paraId="349AEFCA" w14:textId="028A770A">
      <w:pPr>
        <w:pStyle w:val="ssNoHeading2"/>
        <w:rPr>
          <w:color w:val="auto"/>
          <w:shd w:val="clear" w:color="auto" w:fill="auto"/>
        </w:rPr>
      </w:pPr>
      <w:r>
        <w:t xml:space="preserve">The entitlement to vote at any meeting of the </w:t>
      </w:r>
      <w:r w:rsidR="00192873">
        <w:t>Company</w:t>
      </w:r>
      <w:r>
        <w:t xml:space="preserve"> </w:t>
      </w:r>
      <w:r w:rsidR="006A3C27">
        <w:t>[</w:t>
      </w:r>
      <w:r>
        <w:t xml:space="preserve">or </w:t>
      </w:r>
      <w:r w:rsidR="00192873">
        <w:t xml:space="preserve">a </w:t>
      </w:r>
      <w:r>
        <w:t>Fund</w:t>
      </w:r>
      <w:r w:rsidR="006A3C27">
        <w:t>]</w:t>
      </w:r>
      <w:r w:rsidRPr="006A3C27" w:rsidR="006A3C27">
        <w:rPr>
          <w:vertAlign w:val="superscript"/>
        </w:rPr>
        <w:t xml:space="preserve"> 2</w:t>
      </w:r>
      <w:r w:rsidR="006A3C27">
        <w:rPr>
          <w:vertAlign w:val="superscript"/>
        </w:rPr>
        <w:t xml:space="preserve"> </w:t>
      </w:r>
      <w:r>
        <w:t xml:space="preserve">attaching to each </w:t>
      </w:r>
      <w:r w:rsidR="00192873">
        <w:t>Share</w:t>
      </w:r>
      <w:r>
        <w:t xml:space="preserve"> is as set out in the FCA Rules. On a show of hands, every </w:t>
      </w:r>
      <w:r w:rsidR="00192873">
        <w:t>Share</w:t>
      </w:r>
      <w:r>
        <w:t xml:space="preserve">holder who is present in person has one vote. On a poll, votes may be given personally or by proxy or in the manner described in </w:t>
      </w:r>
      <w:r w:rsidR="000A1DAB">
        <w:t>Clause</w:t>
      </w:r>
      <w:r>
        <w:t xml:space="preserve"> </w:t>
      </w:r>
      <w:r w:rsidR="00192873">
        <w:rPr>
          <w:highlight w:val="yellow"/>
        </w:rPr>
        <w:fldChar w:fldCharType="begin"/>
      </w:r>
      <w:r w:rsidR="00192873">
        <w:instrText xml:space="preserve"> REF _Ref116304579 \r \h </w:instrText>
      </w:r>
      <w:r w:rsidR="00192873">
        <w:rPr>
          <w:highlight w:val="yellow"/>
        </w:rPr>
        <w:fldChar w:fldCharType="separate"/>
      </w:r>
      <w:r w:rsidR="0011178A">
        <w:rPr>
          <w:cs/>
        </w:rPr>
        <w:t>‎</w:t>
      </w:r>
      <w:r w:rsidR="0011178A">
        <w:t>23.2</w:t>
      </w:r>
      <w:r w:rsidR="00192873">
        <w:rPr>
          <w:highlight w:val="yellow"/>
        </w:rPr>
        <w:fldChar w:fldCharType="end"/>
      </w:r>
      <w:r>
        <w:t xml:space="preserve">. On a poll, the voting rights attached to each </w:t>
      </w:r>
      <w:r w:rsidR="00192873">
        <w:t>Share</w:t>
      </w:r>
      <w:r>
        <w:t xml:space="preserve"> shall be such proportion of the voting rights attached to all the </w:t>
      </w:r>
      <w:r w:rsidR="00192873">
        <w:t>Share</w:t>
      </w:r>
      <w:r>
        <w:t xml:space="preserve">s in issue in the </w:t>
      </w:r>
      <w:r w:rsidR="00192873">
        <w:t>Company</w:t>
      </w:r>
      <w:r>
        <w:t xml:space="preserve"> or any </w:t>
      </w:r>
      <w:r w:rsidR="006A3C27">
        <w:t>[</w:t>
      </w:r>
      <w:r>
        <w:t>Fund or</w:t>
      </w:r>
      <w:r w:rsidR="006A3C27">
        <w:t>]</w:t>
      </w:r>
      <w:r w:rsidRPr="006A3C27" w:rsidR="006A3C27">
        <w:rPr>
          <w:vertAlign w:val="superscript"/>
        </w:rPr>
        <w:t>2</w:t>
      </w:r>
      <w:r>
        <w:t xml:space="preserve"> Class (as the case may be) as the price of the </w:t>
      </w:r>
      <w:r w:rsidR="00192873">
        <w:t>Share</w:t>
      </w:r>
      <w:r>
        <w:t xml:space="preserve"> bears to the aggregate price(s) of all the </w:t>
      </w:r>
      <w:r w:rsidR="00192873">
        <w:t>Shares</w:t>
      </w:r>
      <w:r>
        <w:t xml:space="preserve"> in issue in the </w:t>
      </w:r>
      <w:r w:rsidR="00192873">
        <w:t>Company</w:t>
      </w:r>
      <w:r>
        <w:t xml:space="preserve"> </w:t>
      </w:r>
      <w:r w:rsidR="006A3C27">
        <w:t>[</w:t>
      </w:r>
      <w:r>
        <w:t>or such Fund</w:t>
      </w:r>
      <w:r w:rsidR="006A3C27">
        <w:t>]</w:t>
      </w:r>
      <w:r w:rsidRPr="006A3C27" w:rsidR="006A3C27">
        <w:rPr>
          <w:vertAlign w:val="superscript"/>
        </w:rPr>
        <w:t>2</w:t>
      </w:r>
      <w:r>
        <w:t xml:space="preserve"> or such Class.</w:t>
      </w:r>
    </w:p>
    <w:p w:rsidR="0020008E" w:rsidP="0020008E" w14:paraId="36EDF991" w14:textId="675E2C74">
      <w:pPr>
        <w:pStyle w:val="ssNoHeading2"/>
        <w:rPr>
          <w:color w:val="auto"/>
          <w:shd w:val="clear" w:color="auto" w:fill="auto"/>
        </w:rPr>
      </w:pPr>
      <w:bookmarkStart w:id="116" w:name="_Ref116304579"/>
      <w:r>
        <w:t xml:space="preserve">Where a deputy or other person (by whatever name called) has been appointed by a court of competent jurisdiction to exercise powers with respect to the property or affairs of any </w:t>
      </w:r>
      <w:r w:rsidR="00192873">
        <w:t>Share</w:t>
      </w:r>
      <w:r>
        <w:t xml:space="preserve">holder on the ground (however formulated) of that </w:t>
      </w:r>
      <w:r w:rsidR="00192873">
        <w:t>Share</w:t>
      </w:r>
      <w:r>
        <w:t xml:space="preserve">holder’s lack of mental capacity, the </w:t>
      </w:r>
      <w:r w:rsidR="00192873">
        <w:t>ACD</w:t>
      </w:r>
      <w:r>
        <w:t xml:space="preserve"> may, in its absolute discretion and upon or subject to production of such evidence of the appointment as the </w:t>
      </w:r>
      <w:r w:rsidR="00192873">
        <w:t>ACD</w:t>
      </w:r>
      <w:r>
        <w:t xml:space="preserve"> may require, permit such deputy or other person (on behalf of that </w:t>
      </w:r>
      <w:r w:rsidR="00192873">
        <w:t>Share</w:t>
      </w:r>
      <w:r>
        <w:t xml:space="preserve">holder) to: (i) vote on a poll in person or by proxy at any general meeting of the </w:t>
      </w:r>
      <w:r w:rsidR="00192873">
        <w:t>Company</w:t>
      </w:r>
      <w:r>
        <w:t xml:space="preserve"> or any </w:t>
      </w:r>
      <w:r w:rsidR="006A3C27">
        <w:t>[</w:t>
      </w:r>
      <w:r>
        <w:t>Fund or</w:t>
      </w:r>
      <w:r w:rsidR="006A3C27">
        <w:t>]</w:t>
      </w:r>
      <w:r w:rsidRPr="006A3C27" w:rsidR="006A3C27">
        <w:rPr>
          <w:vertAlign w:val="superscript"/>
        </w:rPr>
        <w:t>2</w:t>
      </w:r>
      <w:r>
        <w:t xml:space="preserve"> Class; and/or (ii) exercise any right conferred by ownership of </w:t>
      </w:r>
      <w:r w:rsidR="00192873">
        <w:t>Shares</w:t>
      </w:r>
      <w:r>
        <w:t xml:space="preserve"> in relation to such a meeting (other than the right to vote on a show of hands).</w:t>
      </w:r>
      <w:bookmarkEnd w:id="116"/>
    </w:p>
    <w:p w:rsidR="0020008E" w:rsidRPr="0020008E" w:rsidP="00A37E27" w14:paraId="0A85F50D" w14:textId="1D97B321">
      <w:pPr>
        <w:pStyle w:val="ssNoHeading2"/>
        <w:rPr>
          <w:color w:val="auto"/>
          <w:shd w:val="clear" w:color="auto" w:fill="auto"/>
        </w:rPr>
      </w:pPr>
      <w:r>
        <w:t xml:space="preserve">No objection shall be raised as to the admissibility of any vote except at the meeting or adjourned </w:t>
      </w:r>
      <w:r>
        <w:t>meeting</w:t>
      </w:r>
      <w:r>
        <w:t xml:space="preserve"> at which the vote objected to is or may be given or tendered and every vote not disallowed at such meeting shall be valid for all purposes.  Any such objection shall be referred to the chair of the meeting whose decision shall be final and conclusive.</w:t>
      </w:r>
    </w:p>
    <w:p w:rsidR="004B2147" w:rsidP="00D57A80" w14:paraId="6A7403F9" w14:textId="1D8DE3E6">
      <w:pPr>
        <w:pStyle w:val="Heading1"/>
        <w:rPr>
          <w:color w:val="auto"/>
          <w:shd w:val="clear" w:color="auto" w:fill="auto"/>
        </w:rPr>
      </w:pPr>
      <w:bookmarkStart w:id="117" w:name="_Toc116649447"/>
      <w:bookmarkStart w:id="118" w:name="_Toc116649448"/>
      <w:bookmarkStart w:id="119" w:name="_Toc116649449"/>
      <w:bookmarkStart w:id="120" w:name="_Toc80522071"/>
      <w:bookmarkStart w:id="121" w:name="_Toc119942048"/>
      <w:bookmarkEnd w:id="117"/>
      <w:bookmarkEnd w:id="118"/>
      <w:bookmarkEnd w:id="119"/>
      <w:r>
        <w:t>Proxies</w:t>
      </w:r>
      <w:bookmarkEnd w:id="120"/>
      <w:bookmarkEnd w:id="121"/>
    </w:p>
    <w:p w:rsidR="00192873" w:rsidP="00192873" w14:paraId="5215720E" w14:textId="1FC3EFAF">
      <w:pPr>
        <w:pStyle w:val="ssNoHeading2"/>
        <w:rPr>
          <w:color w:val="auto"/>
          <w:shd w:val="clear" w:color="auto" w:fill="auto"/>
        </w:rPr>
      </w:pPr>
      <w:bookmarkStart w:id="122" w:name="_Ref116304507"/>
      <w:r>
        <w:t>An instrument appointing a proxy must be in writing and in a form approved by the ACD. If the appointing Shareholder is an individual, the instrument must be signed by that individual or by his or her attorney.  If the appointing Shareholder is a corporation, the instrument must either be given under the corporation’s common seal or signed on the corporation’s behalf by a person duly authorised by the corporation to do so.</w:t>
      </w:r>
      <w:bookmarkEnd w:id="122"/>
      <w:r>
        <w:t xml:space="preserve">  </w:t>
      </w:r>
    </w:p>
    <w:p w:rsidR="00192873" w:rsidP="00192873" w14:paraId="1BC56279" w14:textId="7C20BB1C">
      <w:pPr>
        <w:pStyle w:val="ssNoHeading2"/>
        <w:rPr>
          <w:color w:val="auto"/>
          <w:shd w:val="clear" w:color="auto" w:fill="auto"/>
        </w:rPr>
      </w:pPr>
      <w:r>
        <w:t xml:space="preserve">The signature on such instrument need not be witnessed. Where an instrument appointing a proxy is signed on behalf of the appointing Shareholder by an attorney, the letter or the power of attorney (or a duly certified copy thereof) must be delivered with the instrument appointing the proxy in accordance with the following provisions, otherwise the ACD may in its discretion treat the instrument as invalid. An instrument appointing a proxy and the power of attorney or other authority (if any) may be treated as invalid unless it is delivered: </w:t>
      </w:r>
    </w:p>
    <w:p w:rsidR="00192873" w:rsidRPr="00A37E27" w:rsidP="00A37E27" w14:paraId="7E5F7832" w14:textId="48D1A97A">
      <w:pPr>
        <w:pStyle w:val="Heading3"/>
        <w:rPr>
          <w:b w:val="0"/>
          <w:bCs w:val="0"/>
          <w:color w:val="auto"/>
          <w:shd w:val="clear" w:color="auto" w:fill="auto"/>
        </w:rPr>
      </w:pPr>
      <w:r w:rsidRPr="00A37E27">
        <w:rPr>
          <w:b w:val="0"/>
          <w:bCs w:val="0"/>
        </w:rPr>
        <w:t>to either: (i) the place specified for that purpose in (or in any document accompanying) the notice convening the meeting; or (ii) if no such place is specified, the head office of the Company; and</w:t>
      </w:r>
    </w:p>
    <w:p w:rsidR="00192873" w:rsidRPr="00A37E27" w:rsidP="00A37E27" w14:paraId="2F9317DE" w14:textId="77777777">
      <w:pPr>
        <w:pStyle w:val="Heading3"/>
        <w:rPr>
          <w:b w:val="0"/>
          <w:bCs w:val="0"/>
          <w:color w:val="auto"/>
          <w:shd w:val="clear" w:color="auto" w:fill="auto"/>
        </w:rPr>
      </w:pPr>
      <w:r w:rsidRPr="00A37E27">
        <w:rPr>
          <w:b w:val="0"/>
          <w:bCs w:val="0"/>
        </w:rPr>
        <w:t xml:space="preserve">by no later than forty-eight hours before the Appointed Time (as defined below). </w:t>
      </w:r>
    </w:p>
    <w:p w:rsidR="00192873" w:rsidP="00192873" w14:paraId="3907634F" w14:textId="75BEE9E6">
      <w:pPr>
        <w:pStyle w:val="ssNoHeading2"/>
        <w:rPr>
          <w:color w:val="auto"/>
          <w:shd w:val="clear" w:color="auto" w:fill="auto"/>
        </w:rPr>
      </w:pPr>
      <w:r>
        <w:t>Unless an instrument appointing a proxy expressly states otherwise, it shall be valid both for the meeting to which it relates and for any adjournment of that meeting. A vote cast by proxy shall not be invalidated by: (i) the previous death or bankruptcy of the appointing Shareholder; (ii) any other transfer by operation of law of the title to the Shares concerned; (iii) the revocation of the appointment of the proxy; or (iv) the revocation of the authority under which the appointment of the proxy was made, provided in each case that the Company has not received (at its head office) notice in writing of any such event by the time which is two hours before the Appointed Time (as defined below).</w:t>
      </w:r>
    </w:p>
    <w:p w:rsidR="00192873" w:rsidRPr="00192873" w:rsidP="00A37E27" w14:paraId="676CB1EA" w14:textId="7CCA6969">
      <w:pPr>
        <w:pStyle w:val="ssNoHeading2"/>
        <w:rPr>
          <w:color w:val="auto"/>
          <w:shd w:val="clear" w:color="auto" w:fill="auto"/>
        </w:rPr>
      </w:pPr>
      <w:bookmarkStart w:id="123" w:name="_Ref116304515"/>
      <w:r>
        <w:t xml:space="preserve">In these </w:t>
      </w:r>
      <w:r w:rsidR="000A1DAB">
        <w:t>Clauses</w:t>
      </w:r>
      <w:r>
        <w:t xml:space="preserve"> </w:t>
      </w:r>
      <w:r>
        <w:rPr>
          <w:highlight w:val="yellow"/>
        </w:rPr>
        <w:fldChar w:fldCharType="begin"/>
      </w:r>
      <w:r>
        <w:instrText xml:space="preserve"> REF _Ref116304507 \r \h </w:instrText>
      </w:r>
      <w:r>
        <w:rPr>
          <w:highlight w:val="yellow"/>
        </w:rPr>
        <w:fldChar w:fldCharType="separate"/>
      </w:r>
      <w:r w:rsidR="0011178A">
        <w:rPr>
          <w:cs/>
        </w:rPr>
        <w:t>‎</w:t>
      </w:r>
      <w:r w:rsidR="0011178A">
        <w:t>24.1</w:t>
      </w:r>
      <w:r>
        <w:rPr>
          <w:highlight w:val="yellow"/>
        </w:rPr>
        <w:fldChar w:fldCharType="end"/>
      </w:r>
      <w:r w:rsidRPr="00192873">
        <w:t xml:space="preserve"> to </w:t>
      </w:r>
      <w:r w:rsidRPr="00A37E27">
        <w:fldChar w:fldCharType="begin"/>
      </w:r>
      <w:r w:rsidRPr="00A37E27">
        <w:instrText xml:space="preserve"> REF _Ref116304515 \r \h </w:instrText>
      </w:r>
      <w:r>
        <w:instrText xml:space="preserve"> \* MERGEFORMAT </w:instrText>
      </w:r>
      <w:r w:rsidRPr="00A37E27">
        <w:fldChar w:fldCharType="separate"/>
      </w:r>
      <w:r w:rsidR="0011178A">
        <w:rPr>
          <w:cs/>
        </w:rPr>
        <w:t>‎</w:t>
      </w:r>
      <w:r w:rsidR="0011178A">
        <w:t>24.4</w:t>
      </w:r>
      <w:r w:rsidRPr="00A37E27">
        <w:fldChar w:fldCharType="end"/>
      </w:r>
      <w:r>
        <w:t>, the “</w:t>
      </w:r>
      <w:r w:rsidRPr="00A37E27">
        <w:rPr>
          <w:b/>
          <w:bCs w:val="0"/>
        </w:rPr>
        <w:t>Appointed Time</w:t>
      </w:r>
      <w:r>
        <w:t>” is the time appointed for the holding of the meeting or adjourned meeting in question except that, in the case of a poll taken otherwise than at (or on the same day as) such a meeting, it is the time appointed for the taking of the poll.</w:t>
      </w:r>
      <w:bookmarkEnd w:id="123"/>
    </w:p>
    <w:p w:rsidR="004B2147" w:rsidP="00D57A80" w14:paraId="6F763E06" w14:textId="35BE7CA1">
      <w:pPr>
        <w:pStyle w:val="Heading1"/>
        <w:rPr>
          <w:color w:val="auto"/>
          <w:shd w:val="clear" w:color="auto" w:fill="auto"/>
        </w:rPr>
      </w:pPr>
      <w:bookmarkStart w:id="124" w:name="_Toc116649451"/>
      <w:bookmarkStart w:id="125" w:name="_Toc116649452"/>
      <w:bookmarkStart w:id="126" w:name="_Toc116649453"/>
      <w:bookmarkStart w:id="127" w:name="_Toc116649454"/>
      <w:bookmarkStart w:id="128" w:name="_Toc116649455"/>
      <w:bookmarkStart w:id="129" w:name="_Toc116649456"/>
      <w:bookmarkStart w:id="130" w:name="_Toc80522072"/>
      <w:bookmarkStart w:id="131" w:name="_Toc119942049"/>
      <w:bookmarkEnd w:id="124"/>
      <w:bookmarkEnd w:id="125"/>
      <w:bookmarkEnd w:id="126"/>
      <w:bookmarkEnd w:id="127"/>
      <w:bookmarkEnd w:id="128"/>
      <w:bookmarkEnd w:id="129"/>
      <w:r>
        <w:t>Corporations Acting by Representatives</w:t>
      </w:r>
      <w:bookmarkEnd w:id="130"/>
      <w:bookmarkEnd w:id="131"/>
    </w:p>
    <w:p w:rsidR="004B2147" w:rsidP="009D6162" w14:paraId="26366172" w14:textId="44BEAE76">
      <w:pPr>
        <w:pStyle w:val="ssPara2"/>
        <w:numPr>
          <w:ilvl w:val="2"/>
          <w:numId w:val="51"/>
        </w:numPr>
        <w:rPr>
          <w:color w:val="auto"/>
          <w:shd w:val="clear" w:color="auto" w:fill="auto"/>
        </w:rPr>
      </w:pPr>
      <w:r>
        <w:t>Any corporation which is a Shareholder may by resolution of the directors or other governing body of such corporation and in respect of any Share or Shares in the Company of which it is the holder authorise such individual as it thinks fit to act as its representative at any general meeting of the Company or of any [Fund or]</w:t>
      </w:r>
      <w:r w:rsidR="00AD5133">
        <w:rPr>
          <w:vertAlign w:val="superscript"/>
        </w:rPr>
        <w:t>2</w:t>
      </w:r>
      <w:r>
        <w:t xml:space="preserve"> Class.</w:t>
      </w:r>
      <w:r w:rsidR="000F6F38">
        <w:t xml:space="preserve"> </w:t>
      </w:r>
      <w:r>
        <w:t xml:space="preserve">The individual so authorised </w:t>
      </w:r>
      <w:r>
        <w:t xml:space="preserve">shall be entitled to exercise the same powers on behalf of such corporation as the corporation could exercise in respect of such Share or Shares if it were an individual Shareholder and such corporation shall for the purposes of this Instrument be deemed to be present in person at any such meeting if an individual so authorised is so present. </w:t>
      </w:r>
    </w:p>
    <w:p w:rsidR="004B2147" w:rsidP="00D57A80" w14:paraId="0F45103C" w14:textId="0CCA77E4">
      <w:pPr>
        <w:pStyle w:val="ssNoHeading2"/>
        <w:rPr>
          <w:color w:val="auto"/>
          <w:shd w:val="clear" w:color="auto" w:fill="auto"/>
        </w:rPr>
      </w:pPr>
      <w:r>
        <w:t>Any corporation which is a director of the Company may by resolution of its directors or other governing body of such corporation and in respect of any Share or Shares in the Company of which it is the holder authorise such individual as it thinks fit to act as its representative at any general meeting of the Company or any [Fund or]</w:t>
      </w:r>
      <w:r w:rsidR="00AD5133">
        <w:rPr>
          <w:vertAlign w:val="superscript"/>
        </w:rPr>
        <w:t>2</w:t>
      </w:r>
      <w:r>
        <w:t xml:space="preserve"> Class.</w:t>
      </w:r>
      <w:r w:rsidR="000F6F38">
        <w:t xml:space="preserve"> </w:t>
      </w:r>
      <w:r>
        <w:t>The individual so authorised shall be entitled to exercise the same powers on behalf of such corporation as the corporation could exercise in respect of such Share or Shares if it were an individual director and such corporation shall for the purposes of this Instrument be deemed to be present in person at any such meeting if an individual so authorised is so present.</w:t>
      </w:r>
    </w:p>
    <w:p w:rsidR="004B2147" w:rsidP="00D57A80" w14:paraId="678C7BA7" w14:textId="77777777">
      <w:pPr>
        <w:pStyle w:val="Heading1"/>
        <w:rPr>
          <w:color w:val="auto"/>
          <w:shd w:val="clear" w:color="auto" w:fill="auto"/>
        </w:rPr>
      </w:pPr>
      <w:bookmarkStart w:id="132" w:name="_Toc80522073"/>
      <w:bookmarkStart w:id="133" w:name="_Toc119942050"/>
      <w:r>
        <w:t>The ACD</w:t>
      </w:r>
      <w:bookmarkEnd w:id="132"/>
      <w:bookmarkEnd w:id="133"/>
    </w:p>
    <w:p w:rsidR="004B2147" w:rsidP="00D57A80" w14:paraId="137095CE" w14:textId="61D65729">
      <w:pPr>
        <w:pStyle w:val="ssNoHeading2"/>
        <w:rPr>
          <w:color w:val="auto"/>
          <w:shd w:val="clear" w:color="auto" w:fill="auto"/>
        </w:rPr>
      </w:pPr>
      <w:r>
        <w:t>The Company shall have one director which shall be the ACD in accordance with the Regulations.</w:t>
      </w:r>
    </w:p>
    <w:p w:rsidR="004B2147" w:rsidP="00D57A80" w14:paraId="612FB509" w14:textId="77777777">
      <w:pPr>
        <w:pStyle w:val="ssNoHeading2"/>
        <w:rPr>
          <w:color w:val="auto"/>
          <w:shd w:val="clear" w:color="auto" w:fill="auto"/>
        </w:rPr>
      </w:pPr>
      <w:r>
        <w:t>A director is not required to hold any Shares in the Company by way of qualification.</w:t>
      </w:r>
    </w:p>
    <w:p w:rsidR="004B2147" w:rsidP="00D57A80" w14:paraId="7E40F2C2" w14:textId="3D6D9A45">
      <w:pPr>
        <w:pStyle w:val="ssNoHeading2"/>
        <w:rPr>
          <w:color w:val="auto"/>
          <w:shd w:val="clear" w:color="auto" w:fill="auto"/>
        </w:rPr>
      </w:pPr>
      <w:bookmarkStart w:id="134" w:name="_Ref92242199"/>
      <w:r>
        <w:t>If and for so long as the ACD is the sole director of the Company, the ACD shall have authority to exercise all the powers, authorities and discretions expressed in this Instrument and the Regulations to be vested in the directors of an investment company with variable capital generally and shall enter into a contract of service with the Company governing the terms on which it will perform such functions. Any decision which is required by the Regulations or this Instrument to be taken by the directors shall, if and for so long as the ACD is the sole director, be valid and effective if made by the ACD.</w:t>
      </w:r>
      <w:bookmarkEnd w:id="134"/>
    </w:p>
    <w:p w:rsidR="004B2147" w:rsidP="00D57A80" w14:paraId="1CADEA2D" w14:textId="3D9DBA3E">
      <w:pPr>
        <w:pStyle w:val="ssNoHeading2"/>
        <w:rPr>
          <w:color w:val="auto"/>
          <w:shd w:val="clear" w:color="auto" w:fill="auto"/>
        </w:rPr>
      </w:pPr>
      <w:r>
        <w:t>The ACD (or any director) is entitled by one or more duly authorised representatives to attend and speak at any general meeting of the Company, [at any Fund meeting]</w:t>
      </w:r>
      <w:r w:rsidR="00AD5133">
        <w:rPr>
          <w:vertAlign w:val="superscript"/>
        </w:rPr>
        <w:t>2</w:t>
      </w:r>
      <w:r>
        <w:t xml:space="preserve"> and at any Class meeting. </w:t>
      </w:r>
    </w:p>
    <w:p w:rsidR="004B2147" w:rsidP="00D57A80" w14:paraId="56FD70D3" w14:textId="77777777">
      <w:pPr>
        <w:pStyle w:val="ssNoHeading2"/>
        <w:rPr>
          <w:color w:val="auto"/>
          <w:shd w:val="clear" w:color="auto" w:fill="auto"/>
        </w:rPr>
      </w:pPr>
      <w:r>
        <w:t>The appointment of the ACD as such shall automatically determine if it ceases to be a director but without prejudice to any claim for damages for breach of any contract of service between it and the Company.</w:t>
      </w:r>
    </w:p>
    <w:p w:rsidR="004B2147" w:rsidP="00D57A80" w14:paraId="53DE3C7F" w14:textId="52C6D50E">
      <w:pPr>
        <w:pStyle w:val="ssNoHeading2"/>
        <w:rPr>
          <w:color w:val="auto"/>
          <w:shd w:val="clear" w:color="auto" w:fill="auto"/>
        </w:rPr>
      </w:pPr>
      <w:r>
        <w:t>No resolution made by the Company in general meeting [or by the holders of the Shares of any Fund at a Fund meeting,]</w:t>
      </w:r>
      <w:r w:rsidR="00AD5133">
        <w:rPr>
          <w:vertAlign w:val="superscript"/>
        </w:rPr>
        <w:t>2</w:t>
      </w:r>
      <w:r>
        <w:t xml:space="preserve"> or by the holders of the Shares of any Class at a Class meeting shall invalidate any prior act of the ACD which would have been valid if such resolution had not been made.</w:t>
      </w:r>
    </w:p>
    <w:p w:rsidR="004B2147" w:rsidP="00D57A80" w14:paraId="0FC3B8EB" w14:textId="3B8869B9">
      <w:pPr>
        <w:pStyle w:val="ssNoHeading2"/>
        <w:rPr>
          <w:color w:val="auto"/>
          <w:spacing w:val="-2"/>
          <w:shd w:val="clear" w:color="auto" w:fill="auto"/>
        </w:rPr>
      </w:pPr>
      <w:r>
        <w:t>Subject to the FCA Rules, the ACD may appoint agents and delegate any of the powers, authorities and discretions vested in or exercisable by it, with or without power to sub-delegate.</w:t>
      </w:r>
      <w:r w:rsidR="000F6F38">
        <w:t xml:space="preserve"> </w:t>
      </w:r>
      <w:r>
        <w:t>Any such appointment or delegation made by the ACD in accordance with FCA Rules may be made upon such terms and subject to such conditions as the ACD may think fit, and the ACD may remove any such appointee, and may revoke or vary such delegation, but no person dealing in good faith and without notice of any such revocation or variation shall be affected by it doing so.</w:t>
      </w:r>
    </w:p>
    <w:p w:rsidR="004B2147" w:rsidP="00D57A80" w14:paraId="6299CE9C" w14:textId="726C00F6">
      <w:pPr>
        <w:pStyle w:val="ssNoHeading2"/>
        <w:rPr>
          <w:color w:val="auto"/>
          <w:shd w:val="clear" w:color="auto" w:fill="auto"/>
        </w:rPr>
      </w:pPr>
      <w:r>
        <w:t xml:space="preserve">Subject to the FCA Rules, the ACD may by power of attorney appoint any company, firm or person or any fluctuating body of persons, whether nominated directly or indirectly by the ACD, to be the attorney or attorneys of the Company for such purposes and with such powers, authorities and discretions (not exceeding those vested in or exercisable by the ACD under this Instrument or the Regulations) and for such period and subject to such </w:t>
      </w:r>
      <w:r>
        <w:t>conditions as the ACD may think fit, and any such power of attorney may contain such provisions for the protection and convenience of persons dealing with any such attorney as the ACD may think fit, and may also authorise any such attorney to sub-delegate all or any of the powers, authorities and discretions vested in them.</w:t>
      </w:r>
    </w:p>
    <w:p w:rsidR="004B2147" w:rsidP="00D57A80" w14:paraId="41981C33" w14:textId="0A78B221">
      <w:pPr>
        <w:pStyle w:val="Heading1"/>
        <w:rPr>
          <w:color w:val="auto"/>
          <w:shd w:val="clear" w:color="auto" w:fill="auto"/>
        </w:rPr>
      </w:pPr>
      <w:bookmarkStart w:id="135" w:name="_Toc80522074"/>
      <w:bookmarkStart w:id="136" w:name="_Toc119942051"/>
      <w:r>
        <w:t xml:space="preserve">Remuneration and </w:t>
      </w:r>
      <w:bookmarkEnd w:id="135"/>
      <w:r>
        <w:t>Reimbursement of Expenses of the ACD</w:t>
      </w:r>
      <w:r>
        <w:rPr>
          <w:rStyle w:val="EndnoteReference"/>
          <w:b w:val="0"/>
          <w:bCs w:val="0"/>
          <w:u w:val="none"/>
        </w:rPr>
        <w:endnoteReference w:id="32"/>
      </w:r>
      <w:bookmarkEnd w:id="136"/>
    </w:p>
    <w:p w:rsidR="004B2147" w14:paraId="2D85C5CB" w14:textId="00378CF2">
      <w:pPr>
        <w:pStyle w:val="ssPara1"/>
        <w:rPr>
          <w:color w:val="auto"/>
          <w:shd w:val="clear" w:color="auto" w:fill="auto"/>
        </w:rPr>
      </w:pPr>
      <w:r>
        <w:t>The ACD shall be entitled to remuneration for its services as such.</w:t>
      </w:r>
      <w:r w:rsidR="000F6F38">
        <w:t xml:space="preserve"> </w:t>
      </w:r>
      <w:r>
        <w:t>Such remuneration shall (unless otherwise determined by the ACD) be deemed to accrue from day to day and the amount of such remuneration shall (subject to the FCA Rules) be determined by the ACD in its discretion.</w:t>
      </w:r>
      <w:r w:rsidR="000F6F38">
        <w:t xml:space="preserve"> </w:t>
      </w:r>
      <w:r>
        <w:t>The ACD shall be entitled to the reimbursement of expenses of any type disclosed in the Prospectus and for which it may be reimbursed in accordance with the Regulations.</w:t>
      </w:r>
    </w:p>
    <w:p w:rsidR="004B2147" w:rsidP="00D57A80" w14:paraId="0001BC37" w14:textId="77777777">
      <w:pPr>
        <w:pStyle w:val="Heading1"/>
        <w:rPr>
          <w:color w:val="auto"/>
          <w:shd w:val="clear" w:color="auto" w:fill="auto"/>
        </w:rPr>
      </w:pPr>
      <w:bookmarkStart w:id="137" w:name="_Toc80522076"/>
      <w:bookmarkStart w:id="138" w:name="_Toc119942052"/>
      <w:r>
        <w:t>Interests of the ACD</w:t>
      </w:r>
      <w:bookmarkEnd w:id="137"/>
      <w:bookmarkEnd w:id="138"/>
    </w:p>
    <w:p w:rsidR="004B2147" w:rsidP="00D57A80" w14:paraId="5D9E37AF" w14:textId="3BEAD23E">
      <w:pPr>
        <w:pStyle w:val="ssNoHeading2"/>
        <w:rPr>
          <w:color w:val="auto"/>
          <w:shd w:val="clear" w:color="auto" w:fill="auto"/>
        </w:rPr>
      </w:pPr>
      <w:r>
        <w:t>Subject to the Regulations and this Instrument, the ACD may be party to, or in any way interested in, any contract or arrangement or transaction to which the Company is a party, or in which the Company is in any way interested, and it may hold and be remunerated in respect of any office or place of profit (other than the office of auditor or Depositary of the Company) under the Company or any other company in which the Company is in any way interested and may retain for its own absolute use and benefit all profits and advantages accruing to it thereunder or in consequence thereof.</w:t>
      </w:r>
      <w:bookmarkStart w:id="139" w:name="_Ref517529547"/>
      <w:bookmarkEnd w:id="139"/>
    </w:p>
    <w:p w:rsidR="004B2147" w:rsidRPr="0057460E" w:rsidP="0057460E" w14:paraId="53E69C1C" w14:textId="763DAF2F">
      <w:pPr>
        <w:pStyle w:val="ssNoHeading2"/>
        <w:rPr>
          <w:color w:val="auto"/>
          <w:spacing w:val="-2"/>
          <w:shd w:val="clear" w:color="auto" w:fill="auto"/>
        </w:rPr>
      </w:pPr>
      <w:r>
        <w:t xml:space="preserve">Any interest of a kind referred to in Clause </w:t>
      </w:r>
      <w:r>
        <w:fldChar w:fldCharType="begin"/>
      </w:r>
      <w:r>
        <w:instrText xml:space="preserve"> REF _Ref517529547 \r \h </w:instrText>
      </w:r>
      <w:r>
        <w:fldChar w:fldCharType="separate"/>
      </w:r>
      <w:r w:rsidR="0011178A">
        <w:rPr>
          <w:cs/>
        </w:rPr>
        <w:t>‎</w:t>
      </w:r>
      <w:r w:rsidR="0011178A">
        <w:t>28.1</w:t>
      </w:r>
      <w:r>
        <w:fldChar w:fldCharType="end"/>
      </w:r>
      <w:r>
        <w:t xml:space="preserve"> must be properly recorded and </w:t>
      </w:r>
      <w:r>
        <w:t>minuted</w:t>
      </w:r>
      <w:r>
        <w:t xml:space="preserve"> by the ACD as soon as practicable after it becomes so interested.</w:t>
      </w:r>
      <w:r w:rsidR="000F6F38">
        <w:t xml:space="preserve"> </w:t>
      </w:r>
      <w:r>
        <w:t>Nothing in this Clause shall absolve the ACD from its fiduciary duty to act in the best interests of the Company as a whole.</w:t>
      </w:r>
    </w:p>
    <w:p w:rsidR="004B2147" w14:paraId="50FFCFEA" w14:textId="586A0C2A">
      <w:pPr>
        <w:pStyle w:val="ssNoHeading2"/>
        <w:rPr>
          <w:color w:val="auto"/>
          <w:shd w:val="clear" w:color="auto" w:fill="auto"/>
        </w:rPr>
      </w:pPr>
      <w:r>
        <w:t xml:space="preserve">The ACD shall, subject to the Regulations, be entitled at its own discretion to determine the terms of its appointment or re-appointment as such with the Company notwithstanding its interest therein. Such terms shall be set out in writing in a contract of service between the ACD and the Company as provided in Clause </w:t>
      </w:r>
      <w:r>
        <w:rPr>
          <w:cs/>
        </w:rPr>
        <w:t>‎</w:t>
      </w:r>
      <w:r>
        <w:rPr>
          <w:cs/>
        </w:rPr>
        <w:fldChar w:fldCharType="begin"/>
      </w:r>
      <w:r>
        <w:instrText xml:space="preserve"> REF _Ref92242199 \r \h </w:instrText>
      </w:r>
      <w:r>
        <w:rPr>
          <w:cs/>
        </w:rPr>
        <w:fldChar w:fldCharType="separate"/>
      </w:r>
      <w:r w:rsidR="0011178A">
        <w:rPr>
          <w:cs/>
        </w:rPr>
        <w:t>‎</w:t>
      </w:r>
      <w:r w:rsidR="0011178A">
        <w:t>26.3</w:t>
      </w:r>
      <w:r>
        <w:rPr>
          <w:cs/>
        </w:rPr>
        <w:fldChar w:fldCharType="end"/>
      </w:r>
      <w:r w:rsidRPr="00C13F01" w:rsidR="00F6517E">
        <w:rPr>
          <w:rFonts w:hint="cs"/>
          <w:b/>
          <w:bCs w:val="0"/>
          <w:cs/>
        </w:rPr>
        <w:t>.</w:t>
      </w:r>
    </w:p>
    <w:p w:rsidR="004B2147" w:rsidP="00D57A80" w14:paraId="00D81383" w14:textId="208387B3">
      <w:pPr>
        <w:pStyle w:val="Heading1"/>
        <w:rPr>
          <w:color w:val="auto"/>
          <w:shd w:val="clear" w:color="auto" w:fill="auto"/>
        </w:rPr>
      </w:pPr>
      <w:bookmarkStart w:id="140" w:name="_Toc80522077"/>
      <w:bookmarkStart w:id="141" w:name="_Toc119942053"/>
      <w:r>
        <w:t>Minutes of ACD’s Meetings</w:t>
      </w:r>
      <w:bookmarkEnd w:id="140"/>
      <w:bookmarkEnd w:id="141"/>
    </w:p>
    <w:p w:rsidR="004B2147" w:rsidP="00A9030A" w14:paraId="7C713159" w14:textId="77777777">
      <w:pPr>
        <w:pStyle w:val="ssNoHeading2"/>
        <w:numPr>
          <w:ilvl w:val="0"/>
          <w:numId w:val="0"/>
        </w:numPr>
        <w:ind w:left="709"/>
        <w:rPr>
          <w:color w:val="auto"/>
          <w:shd w:val="clear" w:color="auto" w:fill="auto"/>
        </w:rPr>
      </w:pPr>
      <w:r>
        <w:t>The ACD shall cause records to be made and kept in permanent form of:</w:t>
      </w:r>
    </w:p>
    <w:p w:rsidR="004B2147" w:rsidP="00D57A80" w14:paraId="1D7F1C58" w14:textId="5B7E218E">
      <w:pPr>
        <w:pStyle w:val="ssNoHeading3"/>
        <w:rPr>
          <w:color w:val="auto"/>
          <w:shd w:val="clear" w:color="auto" w:fill="auto"/>
        </w:rPr>
      </w:pPr>
      <w:r>
        <w:t>all proceedings at meetings of the Company or of the holders of any [Fund or]</w:t>
      </w:r>
      <w:r w:rsidR="00AD5133">
        <w:rPr>
          <w:vertAlign w:val="superscript"/>
        </w:rPr>
        <w:t>2</w:t>
      </w:r>
      <w:r>
        <w:t xml:space="preserve"> Class of Shares in the Company; and </w:t>
      </w:r>
    </w:p>
    <w:p w:rsidR="004B2147" w:rsidP="00D57A80" w14:paraId="306F2879" w14:textId="77777777">
      <w:pPr>
        <w:pStyle w:val="ssNoHeading3"/>
        <w:rPr>
          <w:color w:val="auto"/>
          <w:shd w:val="clear" w:color="auto" w:fill="auto"/>
        </w:rPr>
      </w:pPr>
      <w:r>
        <w:t>of all resolutions made by the ACD in respect of the Company otherwise than at a meeting and all other matters required by this Instrument to be formally recorded by the ACD.</w:t>
      </w:r>
    </w:p>
    <w:p w:rsidR="004B2147" w:rsidP="00D57A80" w14:paraId="33706EE4" w14:textId="3ECDBC69">
      <w:pPr>
        <w:pStyle w:val="Heading1"/>
        <w:rPr>
          <w:color w:val="auto"/>
          <w:shd w:val="clear" w:color="auto" w:fill="auto"/>
        </w:rPr>
      </w:pPr>
      <w:bookmarkStart w:id="142" w:name="_Toc80522078"/>
      <w:bookmarkStart w:id="143" w:name="_Toc119942054"/>
      <w:r>
        <w:t xml:space="preserve">Removal </w:t>
      </w:r>
      <w:bookmarkEnd w:id="142"/>
      <w:r>
        <w:t>of ACD</w:t>
      </w:r>
      <w:r>
        <w:rPr>
          <w:rStyle w:val="EndnoteReference"/>
          <w:b w:val="0"/>
          <w:bCs w:val="0"/>
          <w:u w:val="none"/>
        </w:rPr>
        <w:endnoteReference w:id="33"/>
      </w:r>
      <w:bookmarkEnd w:id="143"/>
    </w:p>
    <w:p w:rsidR="004B2147" w:rsidP="00A9030A" w14:paraId="7B5AFEDC" w14:textId="1896383C">
      <w:pPr>
        <w:pStyle w:val="ssNoHeading2"/>
        <w:numPr>
          <w:ilvl w:val="0"/>
          <w:numId w:val="0"/>
        </w:numPr>
        <w:ind w:left="709"/>
        <w:rPr>
          <w:color w:val="auto"/>
          <w:spacing w:val="-2"/>
          <w:shd w:val="clear" w:color="auto" w:fill="auto"/>
        </w:rPr>
      </w:pPr>
      <w:r>
        <w:rPr>
          <w:spacing w:val="-2"/>
        </w:rPr>
        <w:t xml:space="preserve">The Company may by </w:t>
      </w:r>
      <w:r w:rsidR="00067B79">
        <w:rPr>
          <w:spacing w:val="-2"/>
        </w:rPr>
        <w:t>extra</w:t>
      </w:r>
      <w:r>
        <w:rPr>
          <w:spacing w:val="-2"/>
        </w:rPr>
        <w:t xml:space="preserve">ordinary resolution </w:t>
      </w:r>
      <w:r>
        <w:rPr>
          <w:w w:val="0"/>
        </w:rPr>
        <w:t>remove the ACD before the expiration of their period of office expires despite anything else in this Instrument or in any agreement between the Company and the ACD.</w:t>
      </w:r>
      <w:r w:rsidR="000F6F38">
        <w:rPr>
          <w:w w:val="0"/>
        </w:rPr>
        <w:t xml:space="preserve"> </w:t>
      </w:r>
      <w:r>
        <w:rPr>
          <w:w w:val="0"/>
        </w:rPr>
        <w:t>Such removal shall take effect only upon the satisfaction of either of the conditions appearing in Regulation 21(3) of the OEIC Regulations and shall be without prejudice to any claim the ACD may have for damages for breach of any such agreement</w:t>
      </w:r>
      <w:r>
        <w:rPr>
          <w:spacing w:val="-2"/>
        </w:rPr>
        <w:t xml:space="preserve">. </w:t>
      </w:r>
    </w:p>
    <w:p w:rsidR="004B2147" w:rsidP="000141F7" w14:paraId="6CF03C8C" w14:textId="77777777">
      <w:pPr>
        <w:pStyle w:val="Heading1"/>
        <w:rPr>
          <w:color w:val="auto"/>
          <w:shd w:val="clear" w:color="auto" w:fill="auto"/>
        </w:rPr>
      </w:pPr>
      <w:bookmarkStart w:id="144" w:name="_Toc80522079"/>
      <w:bookmarkStart w:id="145" w:name="_Toc119942055"/>
      <w:r>
        <w:t>Amendments</w:t>
      </w:r>
      <w:bookmarkEnd w:id="144"/>
      <w:bookmarkEnd w:id="145"/>
    </w:p>
    <w:p w:rsidR="004B2147" w:rsidP="00A9030A" w14:paraId="574FC629" w14:textId="0C2E39A1">
      <w:pPr>
        <w:pStyle w:val="ssNoHeading2"/>
        <w:numPr>
          <w:ilvl w:val="0"/>
          <w:numId w:val="0"/>
        </w:numPr>
        <w:ind w:left="709"/>
        <w:rPr>
          <w:color w:val="auto"/>
          <w:shd w:val="clear" w:color="auto" w:fill="auto"/>
        </w:rPr>
      </w:pPr>
      <w:r w:rsidRPr="00A9030A">
        <w:rPr>
          <w:spacing w:val="-2"/>
        </w:rPr>
        <w:t>Amendments</w:t>
      </w:r>
      <w:r>
        <w:t xml:space="preserve"> may be made to this Instrument by resolution of the ACD to the extent permitted by the FCA Rules</w:t>
      </w:r>
      <w:r>
        <w:rPr>
          <w:rStyle w:val="EndnoteReference"/>
        </w:rPr>
        <w:endnoteReference w:id="34"/>
      </w:r>
      <w:r>
        <w:t>.</w:t>
      </w:r>
    </w:p>
    <w:p w:rsidR="004B2147" w:rsidP="000141F7" w14:paraId="2A72041D" w14:textId="64659E2B">
      <w:pPr>
        <w:pStyle w:val="Heading1"/>
        <w:rPr>
          <w:color w:val="auto"/>
          <w:shd w:val="clear" w:color="auto" w:fill="auto"/>
        </w:rPr>
      </w:pPr>
      <w:bookmarkStart w:id="146" w:name="_Toc80522080"/>
      <w:bookmarkStart w:id="147" w:name="_Toc119942056"/>
      <w:r>
        <w:t>[Income Equalisation]</w:t>
      </w:r>
      <w:r>
        <w:rPr>
          <w:rStyle w:val="EndnoteReference"/>
          <w:b w:val="0"/>
          <w:bCs w:val="0"/>
          <w:u w:val="none"/>
        </w:rPr>
        <w:endnoteReference w:id="35"/>
      </w:r>
      <w:bookmarkEnd w:id="146"/>
      <w:bookmarkEnd w:id="147"/>
    </w:p>
    <w:p w:rsidR="004B2147" w14:paraId="7314919E" w14:textId="2D7F7C4D">
      <w:pPr>
        <w:pStyle w:val="ssNoHeading2"/>
        <w:rPr>
          <w:color w:val="auto"/>
          <w:shd w:val="clear" w:color="auto" w:fill="auto"/>
        </w:rPr>
      </w:pPr>
      <w:r>
        <w:rPr>
          <w:cs/>
        </w:rPr>
        <w:t>‎</w:t>
      </w:r>
      <w:r>
        <w:t>[Except where the ACD determines otherwise, the following provisions of this Clause shall apply to the shares of the Company from time to time.</w:t>
      </w:r>
    </w:p>
    <w:p w:rsidR="004B2147" w14:paraId="7723465E" w14:textId="1CBD56D5">
      <w:pPr>
        <w:pStyle w:val="ssNoHeading2"/>
        <w:rPr>
          <w:color w:val="auto"/>
          <w:shd w:val="clear" w:color="auto" w:fill="auto"/>
        </w:rPr>
      </w:pPr>
      <w:bookmarkStart w:id="148" w:name="_Ref95174243"/>
      <w:r>
        <w:t>An allocation of income (whether annual or interim) to be made in respect of each Share to which this Clause applies issued or converted by the Company or sold by the ACD during the accounting period in respect of which that income allocation is made shall</w:t>
      </w:r>
      <w:r w:rsidR="00CB6401">
        <w:t xml:space="preserve"> be of a lower amount than that allocated in respect of the other Shares of the same Class [issued in respect of the same Fund]</w:t>
      </w:r>
      <w:r w:rsidR="00CB6401">
        <w:rPr>
          <w:vertAlign w:val="superscript"/>
        </w:rPr>
        <w:t>2</w:t>
      </w:r>
      <w:r w:rsidR="00CB6401">
        <w:t xml:space="preserve"> as the proportion of the allocation attributable to income equalisation will have no associated tax amount that may be included in the allocation.</w:t>
      </w:r>
      <w:bookmarkEnd w:id="148"/>
    </w:p>
    <w:p w:rsidR="004B2147" w14:paraId="216103A0" w14:textId="75DB68A2">
      <w:pPr>
        <w:pStyle w:val="ssNoHeading2"/>
        <w:rPr>
          <w:color w:val="auto"/>
          <w:shd w:val="clear" w:color="auto" w:fill="auto"/>
        </w:rPr>
      </w:pPr>
      <w:bookmarkStart w:id="149" w:name="_Ref95174223"/>
      <w:r>
        <w:t xml:space="preserve">The amount of income equalisation in respect of any Share to which Clause </w:t>
      </w:r>
      <w:r>
        <w:rPr>
          <w:cs/>
        </w:rPr>
        <w:fldChar w:fldCharType="begin"/>
      </w:r>
      <w:r>
        <w:instrText xml:space="preserve"> REF _Ref95174243 \w \h </w:instrText>
      </w:r>
      <w:r>
        <w:rPr>
          <w:cs/>
        </w:rPr>
        <w:fldChar w:fldCharType="separate"/>
      </w:r>
      <w:r w:rsidR="0011178A">
        <w:rPr>
          <w:cs/>
        </w:rPr>
        <w:t>‎</w:t>
      </w:r>
      <w:r w:rsidR="0011178A">
        <w:t>32.2</w:t>
      </w:r>
      <w:r>
        <w:rPr>
          <w:cs/>
        </w:rPr>
        <w:fldChar w:fldCharType="end"/>
      </w:r>
      <w:r>
        <w:t xml:space="preserve"> applies shall be either:</w:t>
      </w:r>
      <w:bookmarkEnd w:id="149"/>
    </w:p>
    <w:p w:rsidR="004B2147" w:rsidP="00D57A80" w14:paraId="21D4D0E4" w14:textId="6B7F29B5">
      <w:pPr>
        <w:pStyle w:val="ssNoHeading3"/>
        <w:rPr>
          <w:color w:val="auto"/>
          <w:shd w:val="clear" w:color="auto" w:fill="auto"/>
        </w:rPr>
      </w:pPr>
      <w:r>
        <w:t>the actual amount of income included in the issue price of that Share; or</w:t>
      </w:r>
    </w:p>
    <w:p w:rsidR="004B2147" w:rsidP="00D57A80" w14:paraId="7C5E8468" w14:textId="6A05FD99">
      <w:pPr>
        <w:pStyle w:val="ssNoHeading3"/>
        <w:rPr>
          <w:color w:val="auto"/>
          <w:shd w:val="clear" w:color="auto" w:fill="auto"/>
        </w:rPr>
      </w:pPr>
      <w:r>
        <w:t>an amount arrived at by taking the aggregate of the amounts of income included in the price in respect of Shares of that Class issued, converted or sold in the annual or interim accounting period in question and dividing that aggregate amount by the number of such Shares and applying the resultant average to each of the Shares in question.]</w:t>
      </w:r>
    </w:p>
    <w:p w:rsidR="004B2147" w:rsidP="0057460E" w14:paraId="6470F21F" w14:textId="5FBF0658">
      <w:pPr>
        <w:pStyle w:val="Heading1"/>
        <w:rPr>
          <w:color w:val="auto"/>
          <w:shd w:val="clear" w:color="auto" w:fill="auto"/>
        </w:rPr>
      </w:pPr>
      <w:bookmarkStart w:id="150" w:name="_Toc119942057"/>
      <w:bookmarkStart w:id="151" w:name="_Toc80522081"/>
      <w:r>
        <w:t>Rights in Scheme Property and Allocation of Income</w:t>
      </w:r>
      <w:bookmarkEnd w:id="150"/>
    </w:p>
    <w:p w:rsidR="004B2147" w:rsidP="00D57A80" w14:paraId="696F9ECF" w14:textId="2055528E">
      <w:pPr>
        <w:pStyle w:val="ssPara1"/>
        <w:numPr>
          <w:ilvl w:val="2"/>
          <w:numId w:val="51"/>
        </w:numPr>
        <w:rPr>
          <w:color w:val="auto"/>
          <w:shd w:val="clear" w:color="auto" w:fill="auto"/>
        </w:rPr>
      </w:pPr>
      <w:bookmarkEnd w:id="151"/>
      <w:r w:rsidRPr="00C33752">
        <w:t xml:space="preserve">The proportionate interests of different </w:t>
      </w:r>
      <w:r>
        <w:t>C</w:t>
      </w:r>
      <w:r w:rsidRPr="00C33752">
        <w:t xml:space="preserve">lasses and of </w:t>
      </w:r>
      <w:r>
        <w:t>Share</w:t>
      </w:r>
      <w:r w:rsidRPr="00C33752">
        <w:t xml:space="preserve">holders in each </w:t>
      </w:r>
      <w:r>
        <w:t>C</w:t>
      </w:r>
      <w:r w:rsidRPr="00C33752">
        <w:t xml:space="preserve">lass in the Scheme </w:t>
      </w:r>
      <w:r>
        <w:t>P</w:t>
      </w:r>
      <w:r w:rsidRPr="00C33752">
        <w:t xml:space="preserve">roperty shall be calculated on the basis of Part </w:t>
      </w:r>
      <w:r>
        <w:t>3</w:t>
      </w:r>
      <w:r w:rsidRPr="00C33752">
        <w:t xml:space="preserve"> of the Schedule.</w:t>
      </w:r>
    </w:p>
    <w:p w:rsidR="004B2147" w14:paraId="7A2C561E" w14:textId="422CC2DE">
      <w:pPr>
        <w:pStyle w:val="ssNoHeading2"/>
        <w:rPr>
          <w:color w:val="auto"/>
          <w:shd w:val="clear" w:color="auto" w:fill="auto"/>
        </w:rPr>
      </w:pPr>
      <w:r>
        <w:t xml:space="preserve">[Subject to Clause </w:t>
      </w:r>
      <w:r>
        <w:rPr>
          <w:cs/>
        </w:rPr>
        <w:t>‎</w:t>
      </w:r>
      <w:r>
        <w:fldChar w:fldCharType="begin"/>
      </w:r>
      <w:r>
        <w:instrText xml:space="preserve"> REF _Ref95174325 \w \h </w:instrText>
      </w:r>
      <w:r>
        <w:fldChar w:fldCharType="separate"/>
      </w:r>
      <w:r w:rsidR="0011178A">
        <w:rPr>
          <w:cs/>
        </w:rPr>
        <w:t>‎</w:t>
      </w:r>
      <w:r w:rsidR="0011178A">
        <w:t>33.3</w:t>
      </w:r>
      <w:r>
        <w:fldChar w:fldCharType="end"/>
      </w:r>
      <w:r>
        <w:t xml:space="preserve">, the provisions of </w:t>
      </w:r>
      <w:r>
        <w:fldChar w:fldCharType="begin"/>
      </w:r>
      <w:r>
        <w:instrText xml:space="preserve"> REF _Ref95175287 \r \h </w:instrText>
      </w:r>
      <w:r>
        <w:fldChar w:fldCharType="separate"/>
      </w:r>
      <w:r w:rsidR="0011178A">
        <w:rPr>
          <w:cs/>
        </w:rPr>
        <w:t>‎</w:t>
      </w:r>
      <w:r w:rsidR="0011178A">
        <w:t>Part 3</w:t>
      </w:r>
      <w:r>
        <w:fldChar w:fldCharType="end"/>
      </w:r>
      <w:r>
        <w:t xml:space="preserve"> of the Schedule to this Instrument shall apply to each allocation of income made in respect of any Fund and to calculate the entitlement of each Shareholder to participate in the Scheme Property of the Fund at a time when more than one Class of Shares is in issue in respect of that Fund.]</w:t>
      </w:r>
      <w:r w:rsidR="00AD5133">
        <w:rPr>
          <w:vertAlign w:val="superscript"/>
        </w:rPr>
        <w:t>2</w:t>
      </w:r>
    </w:p>
    <w:p w:rsidR="004B2147" w14:paraId="11F0C4D2" w14:textId="1E1C133B">
      <w:pPr>
        <w:pStyle w:val="ssNoHeading2"/>
        <w:rPr>
          <w:color w:val="auto"/>
          <w:shd w:val="clear" w:color="auto" w:fill="auto"/>
        </w:rPr>
      </w:pPr>
      <w:bookmarkStart w:id="152" w:name="_Ref95174325"/>
      <w:r>
        <w:t>The Company may adopt a method of calculating the amount of income to be allocated between the Shares in issue [(or the Shares in issue in respect of any Fund)]</w:t>
      </w:r>
      <w:r w:rsidR="00AD5133">
        <w:rPr>
          <w:vertAlign w:val="superscript"/>
        </w:rPr>
        <w:t>2</w:t>
      </w:r>
      <w:r>
        <w:t xml:space="preserve"> which is different to that which appears in </w:t>
      </w:r>
      <w:r>
        <w:fldChar w:fldCharType="begin"/>
      </w:r>
      <w:r>
        <w:instrText xml:space="preserve"> REF _Ref95175186 \r \h </w:instrText>
      </w:r>
      <w:r>
        <w:fldChar w:fldCharType="separate"/>
      </w:r>
      <w:r w:rsidR="0011178A">
        <w:rPr>
          <w:cs/>
        </w:rPr>
        <w:t>‎</w:t>
      </w:r>
      <w:r w:rsidR="0011178A">
        <w:t>Part 3</w:t>
      </w:r>
      <w:r>
        <w:fldChar w:fldCharType="end"/>
      </w:r>
      <w:r>
        <w:t xml:space="preserve"> of the Schedule to this Instrument provided that the ACD is satisfied that such method is fair to Shareholders and that it is reasonable to adopt such method in the given circumstances.</w:t>
      </w:r>
      <w:bookmarkEnd w:id="152"/>
    </w:p>
    <w:p w:rsidR="004B2147" w:rsidP="0057460E" w14:paraId="216A3739" w14:textId="084AB571">
      <w:pPr>
        <w:pStyle w:val="Heading1"/>
        <w:rPr>
          <w:color w:val="auto"/>
          <w:shd w:val="clear" w:color="auto" w:fill="auto"/>
        </w:rPr>
      </w:pPr>
      <w:bookmarkStart w:id="153" w:name="_Toc119942058"/>
      <w:bookmarkStart w:id="154" w:name="_Toc80522082"/>
      <w:r>
        <w:t>Income and Distributions</w:t>
      </w:r>
      <w:bookmarkEnd w:id="153"/>
    </w:p>
    <w:p w:rsidR="004B2147" w14:paraId="5074FE77" w14:textId="24CF6B9F">
      <w:pPr>
        <w:pStyle w:val="ssNoHeading2"/>
        <w:rPr>
          <w:color w:val="auto"/>
          <w:shd w:val="clear" w:color="auto" w:fill="auto"/>
        </w:rPr>
      </w:pPr>
      <w:bookmarkEnd w:id="154"/>
      <w:r>
        <w:t>The [ACD]</w:t>
      </w:r>
      <w:r>
        <w:rPr>
          <w:rStyle w:val="EndnoteReference"/>
        </w:rPr>
        <w:endnoteReference w:id="36"/>
      </w:r>
      <w:r>
        <w:t xml:space="preserve"> shall be responsible for the calculation, transfer, allocation and distribution of income for any Class of Shares in issue.</w:t>
      </w:r>
    </w:p>
    <w:p w:rsidR="004B2147" w14:paraId="084C55C7" w14:textId="6B2006EA">
      <w:pPr>
        <w:pStyle w:val="ssNoHeading2"/>
        <w:rPr>
          <w:color w:val="auto"/>
          <w:shd w:val="clear" w:color="auto" w:fill="auto"/>
        </w:rPr>
      </w:pPr>
      <w:r>
        <w:t xml:space="preserve">Any distribution or other monies payable on or in respect of a Share may be paid by crossed cheque, warrant or money order and may be remitted by post to the registered address of the Shareholder or person entitled to such monies (or, if two or more persons are registered as joint holders of the Share or are entitled by virtue of the death or bankruptcy of the holder or otherwise by operation of law, to the registered address of any one of such persons) or </w:t>
      </w:r>
      <w:r>
        <w:t>to such person and to such address as the Shareholder or other such person or persons may direct in writing.</w:t>
      </w:r>
    </w:p>
    <w:p w:rsidR="004B2147" w14:paraId="73836E55" w14:textId="2D5E05CA">
      <w:pPr>
        <w:pStyle w:val="ssNoHeading2"/>
        <w:rPr>
          <w:color w:val="auto"/>
          <w:shd w:val="clear" w:color="auto" w:fill="auto"/>
        </w:rPr>
      </w:pPr>
      <w:r>
        <w:t>If the ACD so determines, any distribution or other monies may also be paid by any other usual or common banking method (including, without limitation, direct credit, bank transfer and electronic funds transfer (a “</w:t>
      </w:r>
      <w:r>
        <w:rPr>
          <w:u w:val="single"/>
        </w:rPr>
        <w:t>bank transfer</w:t>
      </w:r>
      <w:r>
        <w:t>”)) and to or through such person or such persons as the relevant person may direct in writing.</w:t>
      </w:r>
    </w:p>
    <w:p w:rsidR="004B2147" w14:paraId="142CB82E" w14:textId="77777777">
      <w:pPr>
        <w:pStyle w:val="ssNoHeading2"/>
        <w:rPr>
          <w:color w:val="auto"/>
          <w:shd w:val="clear" w:color="auto" w:fill="auto"/>
        </w:rPr>
      </w:pPr>
      <w:r>
        <w:t>Every such cheque, warrant or order shall be made payable to the person entitled to the monies represented by it or to such person as the relevant holder or joint holders may direct in writing and the payment of such cheque, warrant or order or the transfer by way of direct credit or bank transfer by the bank so instructed by the Company shall be a good discharge to the Company. The Company shall not be responsible for any loss of any cheque, warrant or order or for any error in any transfer by direct credit or bank transfer which in each case shall be sent or transferred at the risk of the person or persons entitled to the money thereby.</w:t>
      </w:r>
    </w:p>
    <w:p w:rsidR="004B2147" w14:paraId="12A27596" w14:textId="1022FE9E">
      <w:pPr>
        <w:pStyle w:val="ssNoHeading2"/>
        <w:rPr>
          <w:color w:val="auto"/>
          <w:shd w:val="clear" w:color="auto" w:fill="auto"/>
        </w:rPr>
      </w:pPr>
      <w:r>
        <w:t>If two or more persons are registered as joint holders of any Share, or are entitled jointly to a Share in consequence of the death or bankruptcy of the holder or otherwise by operation of law, any one of them may give an effectual receipt for any distribution or other monies payable or property distributable on or in respect of the Share.</w:t>
      </w:r>
    </w:p>
    <w:p w:rsidR="004B2147" w14:paraId="7D85A9CB" w14:textId="298EAFDE">
      <w:pPr>
        <w:pStyle w:val="ssNoHeading2"/>
        <w:rPr>
          <w:color w:val="auto"/>
          <w:shd w:val="clear" w:color="auto" w:fill="auto"/>
        </w:rPr>
      </w:pPr>
      <w:r>
        <w:t>No distribution or other monies payable on or in respect of a Share shall bear interest against the Company.</w:t>
      </w:r>
    </w:p>
    <w:p w:rsidR="004B2147" w14:paraId="0BCFDAB1" w14:textId="5A2A95A1">
      <w:pPr>
        <w:pStyle w:val="ssNoHeading2"/>
        <w:rPr>
          <w:color w:val="auto"/>
          <w:shd w:val="clear" w:color="auto" w:fill="auto"/>
        </w:rPr>
      </w:pPr>
      <w:r>
        <w:t xml:space="preserve">All distributions unclaimed for a period of six years after having become due for payment shall be forfeited and shall revert to the Company. The payment of any unclaimed distribution, interest or other sum payable by the Company on or in respect of a Share into a separate account shall not constitute the Company a trustee thereof. </w:t>
      </w:r>
    </w:p>
    <w:p w:rsidR="004B2147" w:rsidP="00D57A80" w14:paraId="40057B36" w14:textId="77777777">
      <w:pPr>
        <w:pStyle w:val="Heading1"/>
        <w:rPr>
          <w:color w:val="auto"/>
          <w:shd w:val="clear" w:color="auto" w:fill="auto"/>
        </w:rPr>
      </w:pPr>
      <w:bookmarkStart w:id="155" w:name="_Toc80522083"/>
      <w:bookmarkStart w:id="156" w:name="_Toc119942059"/>
      <w:r>
        <w:t>Cheques etc.</w:t>
      </w:r>
      <w:bookmarkEnd w:id="155"/>
      <w:bookmarkEnd w:id="156"/>
    </w:p>
    <w:p w:rsidR="004B2147" w:rsidP="00A9030A" w14:paraId="23CA4C99" w14:textId="5A539FDA">
      <w:pPr>
        <w:pStyle w:val="ssNoHeading2"/>
        <w:numPr>
          <w:ilvl w:val="0"/>
          <w:numId w:val="0"/>
        </w:numPr>
        <w:ind w:left="709"/>
        <w:rPr>
          <w:color w:val="auto"/>
          <w:shd w:val="clear" w:color="auto" w:fill="auto"/>
        </w:rPr>
      </w:pPr>
      <w:r>
        <w:t>All cheques, promissory notes, drafts, bills of exchange and other negotiable or transferable instruments and all receipts for money paid to the Company shall be signed, drawn, accepted, endorsed or otherwise executed, as the case may be, in such manner as the ACD shall from time to time by resolution determine.</w:t>
      </w:r>
    </w:p>
    <w:p w:rsidR="004B2147" w:rsidP="00D57A80" w14:paraId="22E95842" w14:textId="0E7D0809">
      <w:pPr>
        <w:pStyle w:val="Heading1"/>
        <w:rPr>
          <w:color w:val="auto"/>
          <w:shd w:val="clear" w:color="auto" w:fill="auto"/>
        </w:rPr>
      </w:pPr>
      <w:bookmarkStart w:id="157" w:name="_Toc119942060"/>
      <w:r>
        <w:t>Charges and Expenses</w:t>
      </w:r>
      <w:r>
        <w:rPr>
          <w:rStyle w:val="EndnoteReference"/>
        </w:rPr>
        <w:endnoteReference w:id="37"/>
      </w:r>
      <w:bookmarkEnd w:id="157"/>
    </w:p>
    <w:p w:rsidR="004B2147" w:rsidP="00045297" w14:paraId="57769487" w14:textId="1A01634A">
      <w:pPr>
        <w:pStyle w:val="ssNoHeading2"/>
        <w:rPr>
          <w:color w:val="auto"/>
          <w:shd w:val="clear" w:color="auto" w:fill="auto"/>
        </w:rPr>
      </w:pPr>
      <w:r>
        <w:t>Subject to the FCA Rules, the charges and expenses of the incorporation and authorisation of the Company or any Fund, any registration, any offer of Shares, the preparation and printing of any prospectus issued in connection with such offer and the fees for professional services provided to the Company in connection with such offer will be borne by the Company (unless borne by some other person).</w:t>
      </w:r>
    </w:p>
    <w:p w:rsidR="004B2147" w:rsidP="00D57A80" w14:paraId="2812B6F7" w14:textId="26CEBADE">
      <w:pPr>
        <w:pStyle w:val="ssNoHeading2"/>
        <w:rPr>
          <w:color w:val="auto"/>
          <w:shd w:val="clear" w:color="auto" w:fill="auto"/>
        </w:rPr>
      </w:pPr>
      <w:r>
        <w:t>[Subject to and</w:t>
      </w:r>
      <w:r>
        <w:rPr>
          <w:w w:val="0"/>
        </w:rPr>
        <w:t xml:space="preserve"> in accordance with the Regulations</w:t>
      </w:r>
      <w:r>
        <w:t>, any costs, expenses, charges and liabilities can be payable out of income or capital property of the relevant Fund at the discretion of the ACD</w:t>
      </w:r>
      <w:r>
        <w:rPr>
          <w:spacing w:val="-2"/>
        </w:rPr>
        <w:t>.</w:t>
      </w:r>
      <w:r>
        <w:t>]</w:t>
      </w:r>
      <w:r w:rsidR="00AD5133">
        <w:rPr>
          <w:vertAlign w:val="superscript"/>
        </w:rPr>
        <w:t>2</w:t>
      </w:r>
    </w:p>
    <w:p w:rsidR="004B2147" w:rsidP="00D57A80" w14:paraId="7101DE7F" w14:textId="66332638">
      <w:pPr>
        <w:pStyle w:val="Heading1"/>
        <w:rPr>
          <w:color w:val="auto"/>
          <w:shd w:val="clear" w:color="auto" w:fill="auto"/>
        </w:rPr>
      </w:pPr>
      <w:bookmarkStart w:id="158" w:name="_Toc116649469"/>
      <w:bookmarkStart w:id="159" w:name="_Toc116649470"/>
      <w:bookmarkStart w:id="160" w:name="_Toc483836832"/>
      <w:bookmarkStart w:id="161" w:name="_Toc514119884"/>
      <w:bookmarkStart w:id="162" w:name="_Toc523829767"/>
      <w:bookmarkStart w:id="163" w:name="_Toc80522085"/>
      <w:bookmarkStart w:id="164" w:name="_Toc119942061"/>
      <w:bookmarkEnd w:id="158"/>
      <w:bookmarkEnd w:id="159"/>
      <w:r>
        <w:t>Destruction of Documents</w:t>
      </w:r>
      <w:bookmarkEnd w:id="160"/>
      <w:bookmarkEnd w:id="161"/>
      <w:bookmarkEnd w:id="162"/>
      <w:bookmarkEnd w:id="163"/>
      <w:bookmarkEnd w:id="164"/>
    </w:p>
    <w:p w:rsidR="004B2147" w:rsidP="00AE2847" w14:paraId="3C742B5B" w14:textId="63BAFFAD">
      <w:pPr>
        <w:pStyle w:val="ssNoHeading2"/>
        <w:rPr>
          <w:color w:val="auto"/>
          <w:shd w:val="clear" w:color="auto" w:fill="auto"/>
        </w:rPr>
      </w:pPr>
      <w:r>
        <w:t>Subject to maintaining records in accordance with the Regulations and to any other applicable law, rule or regulation, the ACD or Depositary or the Company may at any time</w:t>
      </w:r>
      <w:r w:rsidR="00FF205E">
        <w:t xml:space="preserve"> destroy any records or other documentation relating to the Company including, without limitation,</w:t>
      </w:r>
      <w:r>
        <w:t xml:space="preserve"> </w:t>
      </w:r>
      <w:r w:rsidR="00FF205E">
        <w:t>any payment mandate (including any variation or cancellation of it) which ceases to have effect</w:t>
      </w:r>
      <w:r w:rsidR="002C2521">
        <w:t xml:space="preserve">, </w:t>
      </w:r>
      <w:r w:rsidR="00FF205E">
        <w:t xml:space="preserve">any notification of change of name or address which has been recorded, </w:t>
      </w:r>
      <w:r>
        <w:t xml:space="preserve">any </w:t>
      </w:r>
      <w:r>
        <w:t>instrument of transfer of Shares which has been registered</w:t>
      </w:r>
      <w:r w:rsidR="00FF205E">
        <w:t xml:space="preserve"> </w:t>
      </w:r>
      <w:r>
        <w:t>and</w:t>
      </w:r>
      <w:r w:rsidR="00FF205E">
        <w:t xml:space="preserve"> </w:t>
      </w:r>
      <w:r>
        <w:t>any other document on the basis of which any entry in the Register</w:t>
      </w:r>
      <w:r w:rsidR="00FF205E">
        <w:t xml:space="preserve"> has been</w:t>
      </w:r>
      <w:r>
        <w:t xml:space="preserve"> is made or cancelled</w:t>
      </w:r>
      <w:r w:rsidR="00FF205E">
        <w:t>.</w:t>
      </w:r>
    </w:p>
    <w:p w:rsidR="004B2147" w:rsidP="00D57A80" w14:paraId="4FA6668E" w14:textId="25A1E86A">
      <w:pPr>
        <w:pStyle w:val="ssNoHeading2"/>
        <w:rPr>
          <w:color w:val="auto"/>
          <w:shd w:val="clear" w:color="auto" w:fill="auto"/>
        </w:rPr>
      </w:pPr>
      <w:r>
        <w:t>It shall conclusively be presumed in favour of the Company that every instrument of transfer so destroyed</w:t>
      </w:r>
      <w:r w:rsidR="000F6F38">
        <w:t xml:space="preserve"> </w:t>
      </w:r>
      <w:r>
        <w:t>was a valid and effective document in accordance with the recorded particulars of it in the books or records of the Company, provided always that the document was destroyed in good faith and without express notice to the Company that the preservation of the document was relevant to a claim.</w:t>
      </w:r>
    </w:p>
    <w:p w:rsidR="004B2147" w:rsidP="00D57A80" w14:paraId="3DB93558" w14:textId="6F567255">
      <w:pPr>
        <w:pStyle w:val="ssNoHeading2"/>
        <w:rPr>
          <w:color w:val="auto"/>
          <w:shd w:val="clear" w:color="auto" w:fill="auto"/>
        </w:rPr>
      </w:pPr>
      <w:r>
        <w:t>Nothing contained in this Clause shall be construed as imposing upon the Company any liability in respect of the destruction of any document in any case where the conditions of this Clause are not fulfilled.</w:t>
      </w:r>
      <w:r w:rsidR="000F6F38">
        <w:t xml:space="preserve"> </w:t>
      </w:r>
      <w:r>
        <w:t>References in this Clause to the destruction of any document include references to its disposal in any manner.</w:t>
      </w:r>
    </w:p>
    <w:p w:rsidR="004B2147" w:rsidP="00D57A80" w14:paraId="0540500F" w14:textId="77777777">
      <w:pPr>
        <w:pStyle w:val="Heading1"/>
        <w:rPr>
          <w:color w:val="auto"/>
          <w:shd w:val="clear" w:color="auto" w:fill="auto"/>
        </w:rPr>
      </w:pPr>
      <w:bookmarkStart w:id="165" w:name="_Toc80522086"/>
      <w:bookmarkStart w:id="166" w:name="_Toc119942062"/>
      <w:r>
        <w:t>Notices</w:t>
      </w:r>
      <w:bookmarkEnd w:id="165"/>
      <w:bookmarkEnd w:id="166"/>
    </w:p>
    <w:p w:rsidR="004B2147" w:rsidP="00D57A80" w14:paraId="0F4BEFD2" w14:textId="4D84D03E">
      <w:pPr>
        <w:pStyle w:val="ssNoHeading2"/>
        <w:rPr>
          <w:color w:val="auto"/>
          <w:shd w:val="clear" w:color="auto" w:fill="auto"/>
        </w:rPr>
      </w:pPr>
      <w:r>
        <w:t>The provisions within the FCA Rules shall be treated as applying to any notice or document to be given to the Company pursuant to this Instrument.</w:t>
      </w:r>
    </w:p>
    <w:p w:rsidR="004B2147" w:rsidP="00D57A80" w14:paraId="6F3C10BF" w14:textId="7DAB0BE6">
      <w:pPr>
        <w:pStyle w:val="ssNoHeading2"/>
        <w:rPr>
          <w:color w:val="auto"/>
          <w:shd w:val="clear" w:color="auto" w:fill="auto"/>
        </w:rPr>
      </w:pPr>
      <w:r>
        <w:t>A Shareholder whose registered address is not within the United Kingdom and who gives to the Company an address within the United Kingdom at which notices may be given to them shall be entitled to have notices given to them at that address.</w:t>
      </w:r>
      <w:r w:rsidR="000F6F38">
        <w:t xml:space="preserve"> </w:t>
      </w:r>
      <w:r>
        <w:t>If they have not given such an address the Company shall give notices to them at their address outside the United Kingdom unless doing so would contravene any applicable laws or regulations.</w:t>
      </w:r>
      <w:r w:rsidRPr="00990BD5" w:rsidR="00990BD5">
        <w:rPr>
          <w:rStyle w:val="EndnoteReference"/>
        </w:rPr>
        <w:t xml:space="preserve"> </w:t>
      </w:r>
      <w:r>
        <w:rPr>
          <w:rStyle w:val="EndnoteReference"/>
        </w:rPr>
        <w:endnoteReference w:id="38"/>
      </w:r>
    </w:p>
    <w:p w:rsidR="004B2147" w:rsidP="00D57A80" w14:paraId="6E5B57D6" w14:textId="2163AD48">
      <w:pPr>
        <w:pStyle w:val="ssNoHeading2"/>
        <w:rPr>
          <w:color w:val="auto"/>
          <w:shd w:val="clear" w:color="auto" w:fill="auto"/>
        </w:rPr>
      </w:pPr>
      <w:r>
        <w:t>A person entitled to a Share or Shares in consequence of the death or bankruptcy of a Shareholder or other operation of law shall, upon such evidence being produced as may from time to time be lawfully required by the ACD as to their entitlement and upon supplying also an address for the service of notices, be entitled to have served upon or delivered to them at such address any notice or document to which the Shareholder but for their death, bankruptcy or other event giving rise to the transmission would have been entitled, and service or delivery of such notice or document in such way shall be deemed good service on all persons interested (whether jointly with or claiming through or under them) in the Share.</w:t>
      </w:r>
      <w:r w:rsidR="000F6F38">
        <w:t xml:space="preserve"> </w:t>
      </w:r>
      <w:r>
        <w:t>Save as aforesaid any notice or document delivered or sent by post to or left at the address of any Shareholder in accordance with the FCA Rules shall, notwithstanding the death or bankruptcy of such Shareholder or other operation of law and whether or not the Company has notice of such state of affairs, be deemed to have been duly served or delivered in respect of any Share registered in the name of such Shareholder as sole or joint holder.</w:t>
      </w:r>
    </w:p>
    <w:p w:rsidR="004B2147" w:rsidP="00D57A80" w14:paraId="41458EAC" w14:textId="5F4FC39E">
      <w:pPr>
        <w:pStyle w:val="ssNoHeading2"/>
        <w:rPr>
          <w:color w:val="auto"/>
          <w:spacing w:val="-2"/>
          <w:shd w:val="clear" w:color="auto" w:fill="auto"/>
        </w:rPr>
      </w:pPr>
      <w:r>
        <w:t>In the case of joint Shareholders, service of a notice or document on any one is effective service on the other joint Shareholders.</w:t>
      </w:r>
    </w:p>
    <w:p w:rsidR="004B2147" w:rsidP="00D57A80" w14:paraId="247F45E9" w14:textId="2EB4B714">
      <w:pPr>
        <w:pStyle w:val="ssNoHeading2"/>
        <w:rPr>
          <w:color w:val="auto"/>
          <w:shd w:val="clear" w:color="auto" w:fill="auto"/>
        </w:rPr>
      </w:pPr>
      <w:r>
        <w:t>If at any time by reason of the suspension or curtailment of postal services within the United Kingdom or any other country or territory, the Company is unable effectively to convene a general meeting of the Company</w:t>
      </w:r>
      <w:r w:rsidR="00BC4B44">
        <w:t>[</w:t>
      </w:r>
      <w:r>
        <w:t>, Fund meeting]</w:t>
      </w:r>
      <w:r w:rsidR="00AD5133">
        <w:rPr>
          <w:vertAlign w:val="superscript"/>
        </w:rPr>
        <w:t>2</w:t>
      </w:r>
      <w:r>
        <w:t xml:space="preserve"> or Class meeting by notices sent through the post, such a meeting may be convened by a notice advertised on the same date in at least two leading daily newspapers with appropriate circulation and such notice shall be deemed to have been duly served on all Shareholders entitled to receive the same at noon on the day when the advertisement appears.</w:t>
      </w:r>
      <w:r w:rsidR="000F6F38">
        <w:t xml:space="preserve"> </w:t>
      </w:r>
      <w:r>
        <w:t>In any such case the Company shall send confirmatory copies of the notice by post if at least seven days prior to the meeting the posting of notices to addresses throughout the United Kingdom or such other country or territory again becomes practicable.</w:t>
      </w:r>
    </w:p>
    <w:p w:rsidR="004B2147" w:rsidP="00D57A80" w14:paraId="41A9C4ED" w14:textId="08CCC373">
      <w:pPr>
        <w:pStyle w:val="ssNoHeading2"/>
        <w:rPr>
          <w:color w:val="auto"/>
          <w:shd w:val="clear" w:color="auto" w:fill="auto"/>
        </w:rPr>
      </w:pPr>
      <w:r>
        <w:t xml:space="preserve">Without limitation to the foregoing, the ACD may release or disclose to the Shareholders and prospective investors any information in their possession regarding the Company and </w:t>
      </w:r>
      <w:r>
        <w:t>its affairs if lawfully required to do so under any applicable laws, rules or regulations, in such manner, at such times and on such terms as the ACD may from time to time determine.</w:t>
      </w:r>
    </w:p>
    <w:p w:rsidR="004B2147" w:rsidP="00D57A80" w14:paraId="28F4844D" w14:textId="77777777">
      <w:pPr>
        <w:pStyle w:val="Heading1"/>
        <w:rPr>
          <w:color w:val="auto"/>
          <w:shd w:val="clear" w:color="auto" w:fill="auto"/>
        </w:rPr>
      </w:pPr>
      <w:bookmarkStart w:id="167" w:name="_Toc80522087"/>
      <w:bookmarkStart w:id="168" w:name="_Toc119942063"/>
      <w:r>
        <w:t>Winding up</w:t>
      </w:r>
      <w:bookmarkEnd w:id="167"/>
      <w:bookmarkEnd w:id="168"/>
    </w:p>
    <w:p w:rsidR="004B2147" w:rsidP="00362433" w14:paraId="765DE67A" w14:textId="48BEB09F">
      <w:pPr>
        <w:pStyle w:val="ssNoHeading2"/>
        <w:numPr>
          <w:ilvl w:val="0"/>
          <w:numId w:val="0"/>
        </w:numPr>
        <w:ind w:left="709"/>
        <w:rPr>
          <w:color w:val="auto"/>
          <w:shd w:val="clear" w:color="auto" w:fill="auto"/>
        </w:rPr>
      </w:pPr>
      <w:r>
        <w:t xml:space="preserve">Subject to Clause </w:t>
      </w:r>
      <w:r>
        <w:fldChar w:fldCharType="begin"/>
      </w:r>
      <w:r>
        <w:instrText xml:space="preserve"> REF _Ref92242657 \w \h </w:instrText>
      </w:r>
      <w:r>
        <w:fldChar w:fldCharType="separate"/>
      </w:r>
      <w:r w:rsidR="0011178A">
        <w:rPr>
          <w:cs/>
        </w:rPr>
        <w:t>‎</w:t>
      </w:r>
      <w:r w:rsidR="0011178A">
        <w:t>12.2</w:t>
      </w:r>
      <w:r>
        <w:fldChar w:fldCharType="end"/>
      </w:r>
      <w:r w:rsidR="00CC0244">
        <w:t>,</w:t>
      </w:r>
      <w:r w:rsidR="00BC4B44">
        <w:t xml:space="preserve"> </w:t>
      </w:r>
      <w:r>
        <w:t>the rights of a Shareholder to participate in the property [comprised in a Fund]</w:t>
      </w:r>
      <w:r w:rsidR="00AD5133">
        <w:rPr>
          <w:vertAlign w:val="superscript"/>
        </w:rPr>
        <w:t>2</w:t>
      </w:r>
      <w:r>
        <w:t xml:space="preserve"> on a winding up of the Company [or on termination or winding up of the Fund]</w:t>
      </w:r>
      <w:r w:rsidR="00AD5133">
        <w:rPr>
          <w:vertAlign w:val="superscript"/>
        </w:rPr>
        <w:t>2</w:t>
      </w:r>
      <w:r>
        <w:t xml:space="preserve"> shall be proportionate to the number of units of entitlement in the </w:t>
      </w:r>
      <w:r w:rsidR="00BC4B44">
        <w:t>[</w:t>
      </w:r>
      <w:r>
        <w:t>Fund</w:t>
      </w:r>
      <w:r w:rsidR="00BC4B44">
        <w:t>/Company</w:t>
      </w:r>
      <w:r>
        <w:t>]</w:t>
      </w:r>
      <w:r w:rsidR="00AD5133">
        <w:rPr>
          <w:vertAlign w:val="superscript"/>
        </w:rPr>
        <w:t>2</w:t>
      </w:r>
      <w:r>
        <w:t xml:space="preserve"> represented by the Shares which they hold, determined in accordance with </w:t>
      </w:r>
      <w:r>
        <w:fldChar w:fldCharType="begin"/>
      </w:r>
      <w:r>
        <w:instrText xml:space="preserve"> REF _Ref92237462 \r \h </w:instrText>
      </w:r>
      <w:r>
        <w:fldChar w:fldCharType="separate"/>
      </w:r>
      <w:r w:rsidR="0011178A">
        <w:rPr>
          <w:cs/>
        </w:rPr>
        <w:t>‎</w:t>
      </w:r>
      <w:r w:rsidR="0011178A">
        <w:t>Part 3</w:t>
      </w:r>
      <w:r>
        <w:fldChar w:fldCharType="end"/>
      </w:r>
      <w:r>
        <w:t xml:space="preserve"> of the Schedule to this Instrument.</w:t>
      </w:r>
      <w:r>
        <w:rPr>
          <w:rStyle w:val="EndnoteReference"/>
        </w:rPr>
        <w:endnoteReference w:id="39"/>
      </w:r>
    </w:p>
    <w:p w:rsidR="004B2147" w:rsidP="000141F7" w14:paraId="0B5FBF39" w14:textId="77777777">
      <w:pPr>
        <w:pStyle w:val="Heading1"/>
        <w:rPr>
          <w:color w:val="auto"/>
          <w:shd w:val="clear" w:color="auto" w:fill="auto"/>
        </w:rPr>
      </w:pPr>
      <w:bookmarkStart w:id="169" w:name="_Toc80522088"/>
      <w:bookmarkStart w:id="170" w:name="_Toc119942064"/>
      <w:r>
        <w:t>Indemnity</w:t>
      </w:r>
      <w:bookmarkEnd w:id="169"/>
      <w:bookmarkEnd w:id="170"/>
    </w:p>
    <w:p w:rsidR="004B2147" w14:paraId="7337AC92" w14:textId="11919530">
      <w:pPr>
        <w:pStyle w:val="ssNoHeading2"/>
        <w:rPr>
          <w:color w:val="auto"/>
          <w:shd w:val="clear" w:color="auto" w:fill="auto"/>
        </w:rPr>
      </w:pPr>
      <w:r>
        <w:t>The ACD, every director, other officer, auditor and Depositary of the Company shall each be indemnified by the Company against any liability incurred by them respectively in defending any proceedings (whether civil or criminal) for negligence, default, breach of duty or breach of trust in each case in relation to the Company in which judgment is given in their favour respectively or they are respectively acquitted or in connection with any application under Regulation 63 of the OEIC Regulations in which relief is granted to them respectively by the Court but this indemnity shall not apply to any liability to the extent that it is recovered from another person.</w:t>
      </w:r>
    </w:p>
    <w:p w:rsidR="004B2147" w:rsidP="0022111C" w14:paraId="19150F22" w14:textId="1C362CA3">
      <w:pPr>
        <w:pStyle w:val="ssNoHeading2"/>
        <w:rPr>
          <w:color w:val="auto"/>
          <w:shd w:val="clear" w:color="auto" w:fill="auto"/>
        </w:rPr>
      </w:pPr>
      <w:r>
        <w:t>[To the extent permitted by Regulation 32(2) of the AIFM Regulations and any applicable law, rule or regulation, the ACD may authorise a Depositary appointed by or in respect of the Company, to discharge itself of liability under Regulation 30(2) of the AIFM Regulations, provided that the conditions set out in Regulation 32(2) of the AIFM Regulations are met.]</w:t>
      </w:r>
      <w:r>
        <w:rPr>
          <w:rStyle w:val="EndnoteReference"/>
        </w:rPr>
        <w:endnoteReference w:id="40"/>
      </w:r>
    </w:p>
    <w:p w:rsidR="004B2147" w14:paraId="39E44617" w14:textId="19055D46">
      <w:pPr>
        <w:pStyle w:val="ssNoHeading2"/>
        <w:rPr>
          <w:color w:val="auto"/>
          <w:shd w:val="clear" w:color="auto" w:fill="auto"/>
        </w:rPr>
      </w:pPr>
      <w:r>
        <w:t>Subject to the Regulations, the ACD may exercise all the powers of the Company to purchase and maintain insurance:</w:t>
      </w:r>
    </w:p>
    <w:p w:rsidR="004B2147" w:rsidP="000141F7" w14:paraId="0561AD50" w14:textId="25DE8232">
      <w:pPr>
        <w:pStyle w:val="ssNoHeading3"/>
        <w:rPr>
          <w:color w:val="auto"/>
          <w:shd w:val="clear" w:color="auto" w:fill="auto"/>
        </w:rPr>
      </w:pPr>
      <w:r>
        <w:t>for the benefit of any person who is or was a director, other officer or auditor of the Company against any liability which may attach to them in respect of any negligence, default, breach of duty or breach of trust of which they may be guilty in relation to the Company; and</w:t>
      </w:r>
    </w:p>
    <w:p w:rsidR="004B2147" w:rsidRPr="00DB7AC5" w:rsidP="009D6162" w14:paraId="0F427815" w14:textId="27761AB2">
      <w:pPr>
        <w:pStyle w:val="ssNoHeading3"/>
        <w:rPr>
          <w:color w:val="auto"/>
          <w:spacing w:val="-2"/>
          <w:shd w:val="clear" w:color="auto" w:fill="auto"/>
        </w:rPr>
      </w:pPr>
      <w:r>
        <w:t>for the benefit of any person who is or was the Depositary against any liability for any failure to exercise due care and diligence in the discharge of their functions in respect of the Company.</w:t>
      </w:r>
    </w:p>
    <w:p w:rsidR="00D91A51" w:rsidRPr="00B37DF3" w:rsidP="007C2331" w14:paraId="52AE188F" w14:textId="04238FEE">
      <w:pPr>
        <w:pStyle w:val="Heading2"/>
        <w:keepNext w:val="0"/>
        <w:keepLines w:val="0"/>
        <w:rPr>
          <w:b w:val="0"/>
          <w:bCs w:val="0"/>
          <w:color w:val="auto"/>
          <w:shd w:val="clear" w:color="auto" w:fill="auto"/>
        </w:rPr>
      </w:pPr>
      <w:r w:rsidRPr="00B37DF3">
        <w:rPr>
          <w:b w:val="0"/>
          <w:bCs w:val="0"/>
        </w:rPr>
        <w:t xml:space="preserve">The </w:t>
      </w:r>
      <w:r>
        <w:rPr>
          <w:b w:val="0"/>
          <w:bCs w:val="0"/>
        </w:rPr>
        <w:t>ACD</w:t>
      </w:r>
      <w:r w:rsidRPr="00B37DF3">
        <w:rPr>
          <w:b w:val="0"/>
          <w:bCs w:val="0"/>
        </w:rPr>
        <w:t xml:space="preserve"> shall be indemnified out of the </w:t>
      </w:r>
      <w:r w:rsidR="007C2331">
        <w:rPr>
          <w:b w:val="0"/>
          <w:bCs w:val="0"/>
        </w:rPr>
        <w:t>S</w:t>
      </w:r>
      <w:r w:rsidRPr="00B37DF3">
        <w:rPr>
          <w:b w:val="0"/>
          <w:bCs w:val="0"/>
        </w:rPr>
        <w:t xml:space="preserve">cheme </w:t>
      </w:r>
      <w:r w:rsidR="007C2331">
        <w:rPr>
          <w:b w:val="0"/>
          <w:bCs w:val="0"/>
        </w:rPr>
        <w:t>P</w:t>
      </w:r>
      <w:r w:rsidRPr="00B37DF3">
        <w:rPr>
          <w:b w:val="0"/>
          <w:bCs w:val="0"/>
        </w:rPr>
        <w:t>roperty in respect of all actions, damages, costs, losses, charges, expenses, claims and demands and other liabilities made against, suffered or borne by the ACD, the</w:t>
      </w:r>
      <w:r>
        <w:rPr>
          <w:b w:val="0"/>
          <w:bCs w:val="0"/>
        </w:rPr>
        <w:t xml:space="preserve"> Company</w:t>
      </w:r>
      <w:r w:rsidRPr="00B37DF3">
        <w:rPr>
          <w:b w:val="0"/>
          <w:bCs w:val="0"/>
        </w:rPr>
        <w:t xml:space="preserve"> </w:t>
      </w:r>
      <w:r>
        <w:rPr>
          <w:b w:val="0"/>
          <w:bCs w:val="0"/>
        </w:rPr>
        <w:t>[</w:t>
      </w:r>
      <w:r w:rsidRPr="00B37DF3">
        <w:rPr>
          <w:b w:val="0"/>
          <w:bCs w:val="0"/>
        </w:rPr>
        <w:t xml:space="preserve">or any of </w:t>
      </w:r>
      <w:r>
        <w:rPr>
          <w:b w:val="0"/>
          <w:bCs w:val="0"/>
        </w:rPr>
        <w:t>the Funds]</w:t>
      </w:r>
      <w:r w:rsidRPr="00E4579C">
        <w:rPr>
          <w:b w:val="0"/>
          <w:bCs w:val="0"/>
          <w:vertAlign w:val="superscript"/>
        </w:rPr>
        <w:t>2</w:t>
      </w:r>
      <w:r w:rsidRPr="00B37DF3">
        <w:rPr>
          <w:b w:val="0"/>
          <w:bCs w:val="0"/>
        </w:rPr>
        <w:t xml:space="preserve">, a </w:t>
      </w:r>
      <w:r>
        <w:rPr>
          <w:b w:val="0"/>
          <w:bCs w:val="0"/>
        </w:rPr>
        <w:t xml:space="preserve">Shareholder </w:t>
      </w:r>
      <w:r w:rsidRPr="00B37DF3">
        <w:rPr>
          <w:b w:val="0"/>
          <w:bCs w:val="0"/>
        </w:rPr>
        <w:t xml:space="preserve">or any other person, arising as a result of any action properly taken by the </w:t>
      </w:r>
      <w:r>
        <w:rPr>
          <w:b w:val="0"/>
          <w:bCs w:val="0"/>
        </w:rPr>
        <w:t>ACD</w:t>
      </w:r>
      <w:r w:rsidRPr="00B37DF3">
        <w:rPr>
          <w:b w:val="0"/>
          <w:bCs w:val="0"/>
        </w:rPr>
        <w:t xml:space="preserve"> in accordance with this </w:t>
      </w:r>
      <w:r>
        <w:rPr>
          <w:b w:val="0"/>
          <w:bCs w:val="0"/>
        </w:rPr>
        <w:t xml:space="preserve">Instrument </w:t>
      </w:r>
      <w:r w:rsidRPr="00B37DF3">
        <w:rPr>
          <w:b w:val="0"/>
          <w:bCs w:val="0"/>
        </w:rPr>
        <w:t xml:space="preserve">(including, without limitation, entering into any contracts on behalf of </w:t>
      </w:r>
      <w:r w:rsidR="007C2331">
        <w:rPr>
          <w:b w:val="0"/>
          <w:bCs w:val="0"/>
        </w:rPr>
        <w:t>Share</w:t>
      </w:r>
      <w:r w:rsidRPr="00B37DF3">
        <w:rPr>
          <w:b w:val="0"/>
          <w:bCs w:val="0"/>
        </w:rPr>
        <w:t xml:space="preserve">holders) unless the same arises as a result of the </w:t>
      </w:r>
      <w:r>
        <w:rPr>
          <w:b w:val="0"/>
          <w:bCs w:val="0"/>
        </w:rPr>
        <w:t>ACD's</w:t>
      </w:r>
      <w:r w:rsidRPr="00B37DF3">
        <w:rPr>
          <w:b w:val="0"/>
          <w:bCs w:val="0"/>
        </w:rPr>
        <w:t xml:space="preserve"> negligence, fraud or wilful default or failure to comply with its obligations in this </w:t>
      </w:r>
      <w:r>
        <w:rPr>
          <w:b w:val="0"/>
          <w:bCs w:val="0"/>
        </w:rPr>
        <w:t xml:space="preserve">Instrument </w:t>
      </w:r>
      <w:r w:rsidRPr="00B37DF3">
        <w:rPr>
          <w:b w:val="0"/>
          <w:bCs w:val="0"/>
        </w:rPr>
        <w:t xml:space="preserve">or under the Regulations. The </w:t>
      </w:r>
      <w:r>
        <w:rPr>
          <w:b w:val="0"/>
          <w:bCs w:val="0"/>
        </w:rPr>
        <w:t>ACD</w:t>
      </w:r>
      <w:r w:rsidRPr="00B37DF3">
        <w:rPr>
          <w:b w:val="0"/>
          <w:bCs w:val="0"/>
        </w:rPr>
        <w:t xml:space="preserve"> can extend the benefit of this indemnity to its delegates.</w:t>
      </w:r>
    </w:p>
    <w:p w:rsidR="00D91A51" w:rsidRPr="00D91A51" w:rsidP="007C2331" w14:paraId="78EADB47" w14:textId="2EB3C133">
      <w:pPr>
        <w:pStyle w:val="Heading2"/>
        <w:keepNext w:val="0"/>
        <w:keepLines w:val="0"/>
        <w:rPr>
          <w:b w:val="0"/>
          <w:bCs w:val="0"/>
          <w:color w:val="auto"/>
          <w:shd w:val="clear" w:color="auto" w:fill="auto"/>
        </w:rPr>
      </w:pPr>
      <w:r w:rsidRPr="00B37DF3">
        <w:rPr>
          <w:b w:val="0"/>
          <w:bCs w:val="0"/>
        </w:rPr>
        <w:t xml:space="preserve">The Depositary shall be indemnified out of the </w:t>
      </w:r>
      <w:r w:rsidR="007C2331">
        <w:rPr>
          <w:b w:val="0"/>
          <w:bCs w:val="0"/>
        </w:rPr>
        <w:t>S</w:t>
      </w:r>
      <w:r w:rsidRPr="00B37DF3">
        <w:rPr>
          <w:b w:val="0"/>
          <w:bCs w:val="0"/>
        </w:rPr>
        <w:t xml:space="preserve">cheme </w:t>
      </w:r>
      <w:r w:rsidR="007C2331">
        <w:rPr>
          <w:b w:val="0"/>
          <w:bCs w:val="0"/>
        </w:rPr>
        <w:t>P</w:t>
      </w:r>
      <w:r w:rsidRPr="00B37DF3">
        <w:rPr>
          <w:b w:val="0"/>
          <w:bCs w:val="0"/>
        </w:rPr>
        <w:t>roperty in respect of all actions, damages, costs, losses, charges, expenses, claims and demands and other liabilities made against, suffered or borne by the Depositary, the Company [or any of the Funds]</w:t>
      </w:r>
      <w:r w:rsidRPr="00E4579C">
        <w:rPr>
          <w:b w:val="0"/>
          <w:bCs w:val="0"/>
          <w:vertAlign w:val="superscript"/>
        </w:rPr>
        <w:t>2</w:t>
      </w:r>
      <w:r w:rsidRPr="00B37DF3">
        <w:rPr>
          <w:b w:val="0"/>
          <w:bCs w:val="0"/>
        </w:rPr>
        <w:t xml:space="preserve">, a Shareholder or any other person, arising as a result of any action properly taken by the Depositary in accordance with this </w:t>
      </w:r>
      <w:r>
        <w:rPr>
          <w:b w:val="0"/>
          <w:bCs w:val="0"/>
        </w:rPr>
        <w:t xml:space="preserve">Instrument </w:t>
      </w:r>
      <w:r w:rsidRPr="00B37DF3">
        <w:rPr>
          <w:b w:val="0"/>
          <w:bCs w:val="0"/>
        </w:rPr>
        <w:t xml:space="preserve">(including, without limitation, entering into any contracts on behalf of </w:t>
      </w:r>
      <w:r w:rsidR="007C2331">
        <w:rPr>
          <w:b w:val="0"/>
          <w:bCs w:val="0"/>
        </w:rPr>
        <w:t>Share</w:t>
      </w:r>
      <w:r w:rsidRPr="00B37DF3">
        <w:rPr>
          <w:b w:val="0"/>
          <w:bCs w:val="0"/>
        </w:rPr>
        <w:t xml:space="preserve">holders) unless the same arises as a result of the Depositary's negligence, fraud or wilful default or failure to comply with its obligations in this </w:t>
      </w:r>
      <w:r>
        <w:rPr>
          <w:b w:val="0"/>
          <w:bCs w:val="0"/>
        </w:rPr>
        <w:t xml:space="preserve">Instrument </w:t>
      </w:r>
      <w:r w:rsidRPr="00B37DF3">
        <w:rPr>
          <w:b w:val="0"/>
          <w:bCs w:val="0"/>
        </w:rPr>
        <w:t>or under the Regulations. The Depositary can extend the benefit of this indemnity to its delegates.</w:t>
      </w:r>
    </w:p>
    <w:p w:rsidR="004B2147" w:rsidP="007C2331" w14:paraId="040582F1" w14:textId="61F14712">
      <w:pPr>
        <w:pStyle w:val="Heading1"/>
        <w:keepNext w:val="0"/>
        <w:keepLines w:val="0"/>
        <w:rPr>
          <w:color w:val="auto"/>
          <w:shd w:val="clear" w:color="auto" w:fill="auto"/>
        </w:rPr>
      </w:pPr>
      <w:bookmarkStart w:id="171" w:name="_Toc80522089"/>
      <w:bookmarkStart w:id="172" w:name="_Toc119942065"/>
      <w:r>
        <w:t>Conflict with Regulations</w:t>
      </w:r>
      <w:bookmarkEnd w:id="171"/>
      <w:bookmarkEnd w:id="172"/>
    </w:p>
    <w:p w:rsidR="004B2147" w:rsidP="007C2331" w14:paraId="2FD42112" w14:textId="2F5C20D7">
      <w:pPr>
        <w:pStyle w:val="ssNoHeading2"/>
        <w:numPr>
          <w:ilvl w:val="0"/>
          <w:numId w:val="0"/>
        </w:numPr>
        <w:ind w:left="709"/>
        <w:rPr>
          <w:color w:val="auto"/>
          <w:shd w:val="clear" w:color="auto" w:fill="auto"/>
        </w:rPr>
      </w:pPr>
      <w:r>
        <w:t>In the event of any conflict arising between any provision of this Instrument and the Regulations, the Regulations shall prevail and this Instrument shall be construed and shall take effect accordingly.</w:t>
      </w:r>
    </w:p>
    <w:p w:rsidR="004B2147" w:rsidP="00DE5875" w14:paraId="00944115" w14:textId="3386434C">
      <w:pPr>
        <w:pStyle w:val="ssPara"/>
        <w:rPr>
          <w:color w:val="auto"/>
          <w:shd w:val="clear" w:color="auto" w:fill="auto"/>
          <w:lang w:eastAsia="en-GB"/>
        </w:rPr>
      </w:pPr>
      <w:r>
        <w:rPr>
          <w:lang w:eastAsia="en-GB"/>
        </w:rPr>
        <w:br w:type="page"/>
      </w:r>
    </w:p>
    <w:p w:rsidR="004B2147" w:rsidRPr="00DE5875" w:rsidP="00711287" w14:paraId="40D09C17" w14:textId="37E908BF">
      <w:pPr>
        <w:pStyle w:val="ssqSchedule"/>
        <w:numPr>
          <w:ilvl w:val="0"/>
          <w:numId w:val="0"/>
        </w:numPr>
        <w:rPr>
          <w:color w:val="auto"/>
          <w:shd w:val="clear" w:color="auto" w:fill="auto"/>
          <w:lang w:eastAsia="en-GB"/>
        </w:rPr>
      </w:pPr>
      <w:bookmarkStart w:id="173" w:name="_Toc119942066"/>
      <w:r>
        <w:rPr>
          <w:lang w:eastAsia="en-GB"/>
        </w:rPr>
        <w:t>SCHEDULE</w:t>
      </w:r>
      <w:bookmarkEnd w:id="173"/>
    </w:p>
    <w:p w:rsidR="004B2147" w:rsidP="000141F7" w14:paraId="7BAFBCB5" w14:textId="2E9C4D7E">
      <w:pPr>
        <w:pStyle w:val="ssqPart"/>
        <w:rPr>
          <w:color w:val="auto"/>
          <w:shd w:val="clear" w:color="auto" w:fill="auto"/>
        </w:rPr>
      </w:pPr>
      <w:bookmarkStart w:id="174" w:name="_Toc92243995"/>
      <w:bookmarkStart w:id="175" w:name="_Toc92244411"/>
      <w:bookmarkStart w:id="176" w:name="_Toc92244466"/>
      <w:bookmarkStart w:id="177" w:name="_Toc92244532"/>
      <w:bookmarkStart w:id="178" w:name="_Toc92244583"/>
      <w:bookmarkStart w:id="179" w:name="_Toc92244741"/>
      <w:bookmarkStart w:id="180" w:name="_Toc80522091"/>
      <w:bookmarkStart w:id="181" w:name="_Ref92237227"/>
      <w:bookmarkStart w:id="182" w:name="_Ref92237261"/>
      <w:bookmarkStart w:id="183" w:name="_Ref92237276"/>
      <w:bookmarkStart w:id="184" w:name="_Ref92237318"/>
      <w:bookmarkStart w:id="185" w:name="_Ref92237438"/>
      <w:bookmarkStart w:id="186" w:name="_Ref92237449"/>
      <w:bookmarkStart w:id="187" w:name="_Ref92237756"/>
      <w:bookmarkStart w:id="188" w:name="_Ref95185663"/>
      <w:bookmarkStart w:id="189" w:name="_Toc119942067"/>
      <w:bookmarkEnd w:id="174"/>
      <w:bookmarkEnd w:id="175"/>
      <w:bookmarkEnd w:id="176"/>
      <w:bookmarkEnd w:id="177"/>
      <w:bookmarkEnd w:id="178"/>
      <w:bookmarkEnd w:id="179"/>
      <w:r>
        <w:t>: [The Funds]</w:t>
      </w:r>
      <w:r>
        <w:rPr>
          <w:rStyle w:val="EndnoteReference"/>
          <w:b w:val="0"/>
          <w:bCs/>
        </w:rPr>
        <w:endnoteReference w:id="41"/>
      </w:r>
      <w:bookmarkEnd w:id="180"/>
      <w:bookmarkEnd w:id="181"/>
      <w:bookmarkEnd w:id="182"/>
      <w:bookmarkEnd w:id="183"/>
      <w:bookmarkEnd w:id="184"/>
      <w:bookmarkEnd w:id="185"/>
      <w:bookmarkEnd w:id="186"/>
      <w:bookmarkEnd w:id="187"/>
      <w:bookmarkEnd w:id="188"/>
      <w:bookmarkEnd w:id="189"/>
    </w:p>
    <w:p w:rsidR="004B2147" w:rsidP="00255BDA" w14:paraId="77039C1C" w14:textId="2089DD29">
      <w:pPr>
        <w:pStyle w:val="ssPara1"/>
        <w:numPr>
          <w:ilvl w:val="0"/>
          <w:numId w:val="0"/>
        </w:numPr>
        <w:rPr>
          <w:color w:val="auto"/>
          <w:shd w:val="clear" w:color="auto" w:fill="auto"/>
        </w:rPr>
      </w:pPr>
      <w:bookmarkStart w:id="190" w:name="_Toc92244585"/>
      <w:bookmarkStart w:id="191" w:name="_Toc92244743"/>
      <w:bookmarkEnd w:id="190"/>
      <w:bookmarkEnd w:id="191"/>
    </w:p>
    <w:p w:rsidR="004B2147" w:rsidRPr="00DA1DA3" w:rsidP="00DA1DA3" w14:paraId="6088DA67" w14:textId="0402A635">
      <w:pPr>
        <w:pStyle w:val="Heading1"/>
        <w:numPr>
          <w:ilvl w:val="1"/>
          <w:numId w:val="82"/>
        </w:numPr>
        <w:rPr>
          <w:b w:val="0"/>
          <w:bCs w:val="0"/>
          <w:color w:val="auto"/>
          <w:u w:val="none"/>
          <w:shd w:val="clear" w:color="auto" w:fill="auto"/>
        </w:rPr>
      </w:pPr>
      <w:bookmarkStart w:id="192" w:name="_Toc95771013"/>
      <w:bookmarkStart w:id="193" w:name="_Toc119942068"/>
      <w:bookmarkStart w:id="194" w:name="_Toc98167120"/>
      <w:bookmarkStart w:id="195" w:name="_Toc102004081"/>
      <w:bookmarkStart w:id="196" w:name="_Toc102940331"/>
      <w:bookmarkStart w:id="197" w:name="_Toc116649478"/>
      <w:bookmarkStart w:id="198" w:name="_Toc116651835"/>
      <w:bookmarkStart w:id="199" w:name="_Hlk117867110"/>
      <w:r w:rsidRPr="00DA1DA3">
        <w:rPr>
          <w:b w:val="0"/>
          <w:bCs w:val="0"/>
          <w:u w:val="none"/>
        </w:rPr>
        <w:t>Set out below are the Fund(s) which are available in the Company and their respective investment objectives (and any special investment powers).</w:t>
      </w:r>
      <w:bookmarkEnd w:id="192"/>
      <w:bookmarkEnd w:id="193"/>
      <w:r w:rsidRPr="00362433" w:rsidR="00AC3C9C">
        <w:rPr>
          <w:rStyle w:val="FootnoteReference"/>
          <w:b w:val="0"/>
          <w:bCs w:val="0"/>
          <w:sz w:val="22"/>
          <w:szCs w:val="22"/>
          <w:u w:val="none"/>
        </w:rPr>
        <w:t xml:space="preserve"> </w:t>
      </w:r>
      <w:bookmarkEnd w:id="194"/>
      <w:bookmarkEnd w:id="195"/>
      <w:bookmarkEnd w:id="196"/>
      <w:bookmarkEnd w:id="197"/>
      <w:bookmarkEnd w:id="198"/>
    </w:p>
    <w:p w:rsidR="004B2147" w:rsidP="000424BE" w14:paraId="7D2F818C" w14:textId="7D9D1432">
      <w:pPr>
        <w:pStyle w:val="ssPara2"/>
        <w:numPr>
          <w:ilvl w:val="0"/>
          <w:numId w:val="0"/>
        </w:numPr>
        <w:ind w:left="709"/>
        <w:rPr>
          <w:color w:val="auto"/>
          <w:shd w:val="clear" w:color="auto" w:fill="auto"/>
        </w:rPr>
      </w:pPr>
      <w:r>
        <w:t>Each Fund will qualify as an LTAF for the purposes of the FCA Rules as if each Fund were itself an open-ended investment company in respect of which an authorisation order made by the FCA were in force.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7229"/>
      </w:tblGrid>
      <w:tr w14:paraId="24DC44AA" w14:textId="2332BB6E" w:rsidTr="00755DC2">
        <w:tblPrEx>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10" w:type="dxa"/>
          </w:tcPr>
          <w:p w:rsidR="00755DC2" w:rsidRPr="00BB18D0" w14:paraId="2289D9CA" w14:textId="77777777">
            <w:pPr>
              <w:rPr>
                <w:b/>
                <w:bCs/>
                <w:color w:val="auto"/>
                <w:shd w:val="clear" w:color="auto" w:fill="auto"/>
              </w:rPr>
            </w:pPr>
            <w:r w:rsidRPr="00BB18D0">
              <w:rPr>
                <w:b/>
                <w:bCs/>
              </w:rPr>
              <w:t>Name of Fund</w:t>
            </w:r>
          </w:p>
        </w:tc>
        <w:tc>
          <w:tcPr>
            <w:tcW w:w="7229" w:type="dxa"/>
          </w:tcPr>
          <w:p w:rsidR="00755DC2" w:rsidRPr="00BB18D0" w14:paraId="1D74CCAA" w14:textId="77777777">
            <w:pPr>
              <w:rPr>
                <w:b/>
                <w:bCs/>
                <w:color w:val="auto"/>
                <w:shd w:val="clear" w:color="auto" w:fill="auto"/>
              </w:rPr>
            </w:pPr>
            <w:r w:rsidRPr="00BB18D0">
              <w:rPr>
                <w:b/>
                <w:bCs/>
              </w:rPr>
              <w:t>Investment Objective</w:t>
            </w:r>
          </w:p>
        </w:tc>
      </w:tr>
      <w:tr w14:paraId="0AF66D68" w14:textId="68220300" w:rsidTr="00755DC2">
        <w:tblPrEx>
          <w:tblW w:w="9639" w:type="dxa"/>
          <w:tblInd w:w="-5" w:type="dxa"/>
          <w:tblLook w:val="04A0"/>
        </w:tblPrEx>
        <w:tc>
          <w:tcPr>
            <w:tcW w:w="2410" w:type="dxa"/>
          </w:tcPr>
          <w:p w:rsidR="00755DC2" w14:paraId="3142FC5C" w14:textId="77777777">
            <w:pPr>
              <w:rPr>
                <w:color w:val="auto"/>
                <w:shd w:val="clear" w:color="auto" w:fill="auto"/>
              </w:rPr>
            </w:pPr>
          </w:p>
        </w:tc>
        <w:tc>
          <w:tcPr>
            <w:tcW w:w="7229" w:type="dxa"/>
          </w:tcPr>
          <w:p w:rsidR="00755DC2" w14:paraId="71D81DA6" w14:textId="77777777">
            <w:pPr>
              <w:rPr>
                <w:color w:val="auto"/>
                <w:shd w:val="clear" w:color="auto" w:fill="auto"/>
              </w:rPr>
            </w:pPr>
          </w:p>
        </w:tc>
      </w:tr>
      <w:tr w14:paraId="37578F93" w14:textId="767451AF" w:rsidTr="00755DC2">
        <w:tblPrEx>
          <w:tblW w:w="9639" w:type="dxa"/>
          <w:tblInd w:w="-5" w:type="dxa"/>
          <w:tblLook w:val="04A0"/>
        </w:tblPrEx>
        <w:tc>
          <w:tcPr>
            <w:tcW w:w="2410" w:type="dxa"/>
          </w:tcPr>
          <w:p w:rsidR="00755DC2" w14:paraId="2ACFEB40" w14:textId="77777777">
            <w:pPr>
              <w:rPr>
                <w:color w:val="auto"/>
                <w:shd w:val="clear" w:color="auto" w:fill="auto"/>
              </w:rPr>
            </w:pPr>
          </w:p>
        </w:tc>
        <w:tc>
          <w:tcPr>
            <w:tcW w:w="7229" w:type="dxa"/>
          </w:tcPr>
          <w:p w:rsidR="00755DC2" w14:paraId="0580C022" w14:textId="77777777">
            <w:pPr>
              <w:rPr>
                <w:color w:val="auto"/>
                <w:shd w:val="clear" w:color="auto" w:fill="auto"/>
              </w:rPr>
            </w:pPr>
          </w:p>
        </w:tc>
      </w:tr>
    </w:tbl>
    <w:p w:rsidR="004B2147" w:rsidP="009D6162" w14:paraId="352BCF39" w14:textId="70ED9A88">
      <w:pPr>
        <w:pStyle w:val="ssPara1"/>
        <w:numPr>
          <w:ilvl w:val="0"/>
          <w:numId w:val="0"/>
        </w:numPr>
        <w:rPr>
          <w:color w:val="auto"/>
          <w:shd w:val="clear" w:color="auto" w:fill="auto"/>
        </w:rPr>
      </w:pPr>
    </w:p>
    <w:p w:rsidR="00755DC2" w:rsidP="009D6162" w14:paraId="664E3C14" w14:textId="11F0B473">
      <w:pPr>
        <w:pStyle w:val="ssPara1"/>
        <w:numPr>
          <w:ilvl w:val="0"/>
          <w:numId w:val="0"/>
        </w:numPr>
        <w:rPr>
          <w:color w:val="auto"/>
          <w:shd w:val="clear" w:color="auto" w:fill="auto"/>
        </w:rPr>
      </w:pPr>
      <w:r>
        <w:t>[</w:t>
      </w:r>
      <w:r w:rsidRPr="00800003" w:rsidR="00800003">
        <w:rPr>
          <w:i/>
          <w:iCs/>
        </w:rPr>
        <w:t>Insert s</w:t>
      </w:r>
      <w:r w:rsidRPr="00800003">
        <w:rPr>
          <w:i/>
          <w:iCs/>
        </w:rPr>
        <w:t>tatement meeting the requirement in COLL 15.3.6R(</w:t>
      </w:r>
      <w:r w:rsidR="00800003">
        <w:rPr>
          <w:i/>
          <w:iCs/>
        </w:rPr>
        <w:t>6</w:t>
      </w:r>
      <w:r w:rsidRPr="00800003">
        <w:rPr>
          <w:i/>
          <w:iCs/>
        </w:rPr>
        <w:t>)</w:t>
      </w:r>
      <w:r w:rsidR="00800003">
        <w:rPr>
          <w:i/>
          <w:iCs/>
        </w:rPr>
        <w:t xml:space="preserve">(2) </w:t>
      </w:r>
      <w:r w:rsidRPr="00800003">
        <w:rPr>
          <w:i/>
          <w:iCs/>
        </w:rPr>
        <w:t xml:space="preserve">as regards </w:t>
      </w:r>
      <w:r w:rsidRPr="00800003" w:rsidR="003D392C">
        <w:rPr>
          <w:i/>
          <w:iCs/>
        </w:rPr>
        <w:t>“…</w:t>
      </w:r>
      <w:r w:rsidRPr="00800003">
        <w:rPr>
          <w:i/>
          <w:iCs/>
        </w:rPr>
        <w:t>the dealing frequency for sales and redemptions of units in the scheme</w:t>
      </w:r>
      <w:r w:rsidRPr="00800003" w:rsidR="003D392C">
        <w:rPr>
          <w:i/>
          <w:iCs/>
        </w:rPr>
        <w:t>, and applicable notice period for redemptions</w:t>
      </w:r>
      <w:r w:rsidR="00800003">
        <w:rPr>
          <w:i/>
          <w:iCs/>
        </w:rPr>
        <w:t>”.</w:t>
      </w:r>
      <w:r w:rsidR="003D392C">
        <w:t>]</w:t>
      </w:r>
      <w:r>
        <w:rPr>
          <w:rStyle w:val="EndnoteReference"/>
        </w:rPr>
        <w:endnoteReference w:id="42"/>
      </w:r>
    </w:p>
    <w:p w:rsidR="004B2147" w:rsidRPr="00811A5F" w:rsidP="00B2421A" w14:paraId="258E8AD7" w14:textId="77777777">
      <w:pPr>
        <w:pStyle w:val="ssNoHeading1"/>
        <w:rPr>
          <w:i/>
          <w:iCs/>
          <w:color w:val="auto"/>
          <w:shd w:val="clear" w:color="auto" w:fill="auto"/>
        </w:rPr>
      </w:pPr>
      <w:r>
        <w:t>[</w:t>
      </w:r>
      <w:r w:rsidRPr="00811A5F">
        <w:rPr>
          <w:i/>
          <w:iCs/>
        </w:rPr>
        <w:t>Where relevant, include statements that:</w:t>
      </w:r>
    </w:p>
    <w:p w:rsidR="004B2147" w:rsidRPr="00811A5F" w:rsidP="006C000D" w14:paraId="79A5693A" w14:textId="70D6E244">
      <w:pPr>
        <w:pStyle w:val="ssNoHeading1"/>
        <w:numPr>
          <w:ilvl w:val="3"/>
          <w:numId w:val="73"/>
        </w:numPr>
        <w:rPr>
          <w:i/>
          <w:iCs/>
          <w:color w:val="auto"/>
          <w:shd w:val="clear" w:color="auto" w:fill="auto"/>
        </w:rPr>
      </w:pPr>
      <w:r w:rsidRPr="00811A5F">
        <w:rPr>
          <w:i/>
          <w:iCs/>
        </w:rPr>
        <w:t xml:space="preserve">[the Fund is a property authorised investment fund, that is to say, an open-ended investment company to which Part 4A of the Authorised Investment Funds (Tax) Regulations 2006 (SI 2006/964) applies; and </w:t>
      </w:r>
    </w:p>
    <w:p w:rsidR="004B2147" w:rsidP="006C000D" w14:paraId="3E895A7B" w14:textId="21331DBB">
      <w:pPr>
        <w:pStyle w:val="ssNoHeading1"/>
        <w:numPr>
          <w:ilvl w:val="3"/>
          <w:numId w:val="73"/>
        </w:numPr>
        <w:rPr>
          <w:color w:val="auto"/>
          <w:shd w:val="clear" w:color="auto" w:fill="auto"/>
        </w:rPr>
      </w:pPr>
      <w:r w:rsidRPr="00811A5F">
        <w:rPr>
          <w:i/>
          <w:iCs/>
        </w:rPr>
        <w:t>no body corporate may seek to obtain or intentionally maintain a holding of more than 10% of the net asset value of the scheme</w:t>
      </w:r>
      <w:r w:rsidRPr="00B2421A">
        <w:t>.</w:t>
      </w:r>
      <w:r>
        <w:t>]</w:t>
      </w:r>
      <w:r>
        <w:rPr>
          <w:rStyle w:val="EndnoteReference"/>
        </w:rPr>
        <w:endnoteReference w:id="43"/>
      </w:r>
    </w:p>
    <w:p w:rsidR="004B2147" w:rsidP="0041716A" w14:paraId="4B600085" w14:textId="056084B2">
      <w:pPr>
        <w:pStyle w:val="ssNoHeading1"/>
        <w:rPr>
          <w:color w:val="auto"/>
          <w:shd w:val="clear" w:color="auto" w:fill="auto"/>
        </w:rPr>
      </w:pPr>
      <w:r>
        <w:t>Subject to and where permitted by the Prospectus</w:t>
      </w:r>
      <w:r>
        <w:rPr>
          <w:snapToGrid w:val="0"/>
        </w:rPr>
        <w:t xml:space="preserve">, [a </w:t>
      </w:r>
      <w:r>
        <w:t>Fund] may invest</w:t>
      </w:r>
      <w:r>
        <w:rPr>
          <w:snapToGrid w:val="0"/>
        </w:rPr>
        <w:t xml:space="preserve"> in an overseas immovable through an </w:t>
      </w:r>
      <w:r>
        <w:t>Intermediate Holding Vehicle</w:t>
      </w:r>
      <w:r>
        <w:rPr>
          <w:snapToGrid w:val="0"/>
        </w:rPr>
        <w:t xml:space="preserve"> or a series of </w:t>
      </w:r>
      <w:r>
        <w:t>Intermediate Holding Vehicles.</w:t>
      </w:r>
      <w:r w:rsidR="000F6F38">
        <w:t xml:space="preserve"> </w:t>
      </w:r>
      <w:r>
        <w:t>The purpose of such Intermediate Holding Vehicle</w:t>
      </w:r>
      <w:r>
        <w:rPr>
          <w:snapToGrid w:val="0"/>
        </w:rPr>
        <w:t xml:space="preserve"> or series of </w:t>
      </w:r>
      <w:r>
        <w:t>Intermediate Holding Vehicles</w:t>
      </w:r>
      <w:r>
        <w:rPr>
          <w:snapToGrid w:val="0"/>
        </w:rPr>
        <w:t xml:space="preserve"> will be to enable the holding of overseas immovables by the </w:t>
      </w:r>
      <w:r>
        <w:t>Company.]</w:t>
      </w:r>
      <w:r>
        <w:rPr>
          <w:rStyle w:val="EndnoteReference"/>
        </w:rPr>
        <w:endnoteReference w:id="44"/>
      </w:r>
    </w:p>
    <w:p w:rsidR="004B2147" w:rsidP="00395B06" w14:paraId="590F12F1" w14:textId="2CFEC1A7">
      <w:pPr>
        <w:pStyle w:val="ssNoHeading1"/>
        <w:rPr>
          <w:color w:val="auto"/>
          <w:shd w:val="clear" w:color="auto" w:fill="auto"/>
        </w:rPr>
      </w:pPr>
      <w:r w:rsidRPr="00395B06">
        <w:t>It is intended that the genuine diversity of ownership conditions set out in Regulation 9A of The Authorised Investment Funds (Tax) Regulations 2006 (as amended) will be satisfied in respect of [each of the Funds].</w:t>
      </w:r>
      <w:r w:rsidR="000F6F38">
        <w:t xml:space="preserve"> </w:t>
      </w:r>
      <w:r w:rsidRPr="00395B06">
        <w:t>In this connection, it is confirmed in respect of [each Fund], as follows</w:t>
      </w:r>
      <w:r>
        <w:t>:</w:t>
      </w:r>
    </w:p>
    <w:p w:rsidR="004B2147" w:rsidP="00395B06" w14:paraId="3DCF21FA" w14:textId="49FA60CA">
      <w:pPr>
        <w:pStyle w:val="ssNoHeading1"/>
        <w:numPr>
          <w:ilvl w:val="3"/>
          <w:numId w:val="81"/>
        </w:numPr>
        <w:rPr>
          <w:color w:val="auto"/>
          <w:shd w:val="clear" w:color="auto" w:fill="auto"/>
        </w:rPr>
      </w:pPr>
      <w:r>
        <w:t>Shares in the [Fund] are and will continue to be widely available.</w:t>
      </w:r>
    </w:p>
    <w:p w:rsidR="004B2147" w:rsidP="00395B06" w14:paraId="03CCFAC8" w14:textId="1A691BF5">
      <w:pPr>
        <w:pStyle w:val="ssNoHeading1"/>
        <w:numPr>
          <w:ilvl w:val="3"/>
          <w:numId w:val="81"/>
        </w:numPr>
        <w:rPr>
          <w:color w:val="auto"/>
          <w:shd w:val="clear" w:color="auto" w:fill="auto"/>
        </w:rPr>
      </w:pPr>
      <w:r>
        <w:t>The [Fund] is available for investment by [professional and institutional] investors.</w:t>
      </w:r>
    </w:p>
    <w:p w:rsidR="004B2147" w:rsidP="00395B06" w14:paraId="6C00920C" w14:textId="2E0FBFE1">
      <w:pPr>
        <w:pStyle w:val="ssNoHeading1"/>
        <w:numPr>
          <w:ilvl w:val="3"/>
          <w:numId w:val="81"/>
        </w:numPr>
        <w:rPr>
          <w:color w:val="auto"/>
          <w:shd w:val="clear" w:color="auto" w:fill="auto"/>
        </w:rPr>
      </w:pPr>
      <w:r>
        <w:t>Shares in the [Fund] are and will continue to be marketed and made available sufficiently widely to reach the intended categories of investors and in the manner appropriate to attract those categories of investors, and potential investors can upon request to the ACD obtain information about the [Fund] and acquire Shares in [it].</w:t>
      </w:r>
    </w:p>
    <w:p w:rsidR="004B2147" w:rsidRPr="00BF4A19" w:rsidP="00AC1E42" w14:paraId="5959A346" w14:textId="5076AF28">
      <w:pPr>
        <w:pStyle w:val="ssNoHeading1"/>
        <w:numPr>
          <w:ilvl w:val="0"/>
          <w:numId w:val="0"/>
        </w:numPr>
        <w:rPr>
          <w:snapToGrid w:val="0"/>
          <w:color w:val="auto"/>
          <w:shd w:val="clear" w:color="auto" w:fill="auto"/>
        </w:rPr>
      </w:pPr>
      <w:r w:rsidRPr="00395B06">
        <w:rPr>
          <w:snapToGrid w:val="0"/>
        </w:rPr>
        <w:t>Part 1 of the Schedule dated [●].</w:t>
      </w:r>
    </w:p>
    <w:p w:rsidR="004B2147" w:rsidRPr="00AC76BF" w:rsidP="000141F7" w14:paraId="5ED9AA97" w14:textId="77777777">
      <w:pPr>
        <w:pStyle w:val="ssPara"/>
        <w:rPr>
          <w:color w:val="auto"/>
          <w:shd w:val="clear" w:color="auto" w:fill="auto"/>
        </w:rPr>
      </w:pPr>
      <w:bookmarkEnd w:id="199"/>
      <w:r>
        <w:rPr>
          <w:spacing w:val="-2"/>
        </w:rPr>
        <w:br w:type="page"/>
      </w:r>
    </w:p>
    <w:p w:rsidR="004B2147" w:rsidP="006C000D" w14:paraId="5F724DDA" w14:textId="1EA0E676">
      <w:pPr>
        <w:pStyle w:val="ssqPart"/>
        <w:numPr>
          <w:ilvl w:val="1"/>
          <w:numId w:val="71"/>
        </w:numPr>
        <w:rPr>
          <w:color w:val="auto"/>
          <w:shd w:val="clear" w:color="auto" w:fill="auto"/>
        </w:rPr>
      </w:pPr>
      <w:bookmarkStart w:id="200" w:name="_Toc80522093"/>
      <w:bookmarkStart w:id="201" w:name="_Ref92237364"/>
      <w:bookmarkStart w:id="202" w:name="_Toc119942069"/>
      <w:r>
        <w:t xml:space="preserve">: </w:t>
      </w:r>
      <w:bookmarkStart w:id="203" w:name="_Hlk117869661"/>
      <w:r>
        <w:t>Determination of Net Asset Value</w:t>
      </w:r>
      <w:bookmarkEnd w:id="200"/>
      <w:bookmarkEnd w:id="201"/>
      <w:bookmarkEnd w:id="202"/>
      <w:bookmarkEnd w:id="203"/>
    </w:p>
    <w:p w:rsidR="004B2147" w:rsidRPr="00765C90" w:rsidP="00765C90" w14:paraId="23EED974" w14:textId="622AB7E8">
      <w:pPr>
        <w:pStyle w:val="ssPara1"/>
        <w:jc w:val="center"/>
        <w:rPr>
          <w:b/>
          <w:bCs/>
          <w:color w:val="auto"/>
          <w:shd w:val="clear" w:color="auto" w:fill="auto"/>
        </w:rPr>
      </w:pPr>
      <w:bookmarkStart w:id="204" w:name="_Hlk117869707"/>
      <w:r w:rsidRPr="00765C90">
        <w:rPr>
          <w:b/>
          <w:bCs/>
        </w:rPr>
        <w:t>[SINGLE PRICED SCHEME]</w:t>
      </w:r>
      <w:r>
        <w:rPr>
          <w:rStyle w:val="EndnoteReference"/>
        </w:rPr>
        <w:endnoteReference w:id="45"/>
      </w:r>
      <w:r>
        <w:rPr>
          <w:rStyle w:val="EndnoteReference"/>
        </w:rPr>
        <w:endnoteReference w:id="46"/>
      </w:r>
    </w:p>
    <w:p w:rsidR="004B2147" w:rsidRPr="00A74258" w:rsidP="00A74258" w14:paraId="007EBA17" w14:textId="65C3D1DF">
      <w:pPr>
        <w:pStyle w:val="ssPara"/>
        <w:rPr>
          <w:color w:val="auto"/>
          <w:shd w:val="clear" w:color="auto" w:fill="auto"/>
          <w:lang w:eastAsia="en-GB"/>
        </w:rPr>
      </w:pPr>
    </w:p>
    <w:p w:rsidR="004B2147" w:rsidP="005A5AE7" w14:paraId="05205799" w14:textId="3736A1DD">
      <w:pPr>
        <w:pStyle w:val="ssPara"/>
        <w:rPr>
          <w:color w:val="auto"/>
          <w:shd w:val="clear" w:color="auto" w:fill="auto"/>
        </w:rPr>
      </w:pPr>
      <w:r>
        <w:t>The value of the Scheme Property of the Company [or Fund (as the case may be)]</w:t>
      </w:r>
      <w:r w:rsidR="00AD5133">
        <w:rPr>
          <w:vertAlign w:val="superscript"/>
        </w:rPr>
        <w:t>2</w:t>
      </w:r>
      <w:r>
        <w:t xml:space="preserve"> shall be the value of its assets less the value of its liabilities determined in accordance with the following provisions.</w:t>
      </w:r>
      <w:r w:rsidR="00F77951">
        <w:t xml:space="preserve"> [</w:t>
      </w:r>
      <w:r w:rsidR="005A5AE7">
        <w:t xml:space="preserve">For the purposes of calculating the Net Asset Value of </w:t>
      </w:r>
      <w:r w:rsidR="00CC515D">
        <w:t xml:space="preserve">the Company </w:t>
      </w:r>
      <w:r w:rsidR="008E2E16">
        <w:t>[</w:t>
      </w:r>
      <w:r w:rsidR="00CC515D">
        <w:t xml:space="preserve">or </w:t>
      </w:r>
      <w:r w:rsidR="005A5AE7">
        <w:t>Fund</w:t>
      </w:r>
      <w:r w:rsidR="00CC515D">
        <w:t xml:space="preserve"> (as the case may be)</w:t>
      </w:r>
      <w:r w:rsidR="005A5AE7">
        <w:t>]</w:t>
      </w:r>
      <w:r w:rsidR="00AD5133">
        <w:rPr>
          <w:vertAlign w:val="superscript"/>
        </w:rPr>
        <w:t>2</w:t>
      </w:r>
      <w:r w:rsidR="005A5AE7">
        <w:t>, an</w:t>
      </w:r>
      <w:r w:rsidR="000A1A1F">
        <w:t>y</w:t>
      </w:r>
      <w:r w:rsidR="005A5AE7">
        <w:t xml:space="preserve"> Side Pocket Assets attributable to any Special Investment </w:t>
      </w:r>
      <w:r w:rsidR="003C72AC">
        <w:t>Shares</w:t>
      </w:r>
      <w:r w:rsidR="005A5AE7">
        <w:t xml:space="preserve"> in issue shall be </w:t>
      </w:r>
      <w:r w:rsidR="00AF37CA">
        <w:t xml:space="preserve">excluded </w:t>
      </w:r>
      <w:r w:rsidR="005A5AE7">
        <w:t xml:space="preserve">and </w:t>
      </w:r>
      <w:r w:rsidR="003C72AC">
        <w:t xml:space="preserve">shall </w:t>
      </w:r>
      <w:r w:rsidR="005A5AE7">
        <w:t xml:space="preserve">instead </w:t>
      </w:r>
      <w:r w:rsidR="003C72AC">
        <w:t xml:space="preserve">be attributed </w:t>
      </w:r>
      <w:r w:rsidR="005A5AE7">
        <w:t xml:space="preserve">to the appropriate Special Investment </w:t>
      </w:r>
      <w:r w:rsidR="003C72AC">
        <w:t>Share(s).]</w:t>
      </w:r>
      <w:r>
        <w:rPr>
          <w:rStyle w:val="EndnoteReference"/>
        </w:rPr>
        <w:endnoteReference w:id="47"/>
      </w:r>
    </w:p>
    <w:p w:rsidR="004B2147" w:rsidRPr="00F77951" w:rsidP="00F77951" w14:paraId="44CD3983" w14:textId="2C41CF17">
      <w:pPr>
        <w:pStyle w:val="Heading1"/>
        <w:numPr>
          <w:ilvl w:val="1"/>
          <w:numId w:val="88"/>
        </w:numPr>
        <w:rPr>
          <w:b w:val="0"/>
          <w:bCs w:val="0"/>
          <w:color w:val="auto"/>
          <w:u w:val="none"/>
          <w:shd w:val="clear" w:color="auto" w:fill="auto"/>
        </w:rPr>
      </w:pPr>
      <w:bookmarkStart w:id="205" w:name="_Toc98167122"/>
      <w:bookmarkStart w:id="206" w:name="_Toc102004083"/>
      <w:bookmarkStart w:id="207" w:name="_Toc102940333"/>
      <w:bookmarkStart w:id="208" w:name="_Toc116649480"/>
      <w:bookmarkStart w:id="209" w:name="_Toc116651837"/>
      <w:bookmarkStart w:id="210" w:name="_Toc119942070"/>
      <w:r w:rsidRPr="00F77951">
        <w:rPr>
          <w:b w:val="0"/>
          <w:bCs w:val="0"/>
          <w:u w:val="none"/>
        </w:rPr>
        <w:t>All the Scheme Property (including receivables) is to be included in the valuation, subject to the following provisions.</w:t>
      </w:r>
      <w:bookmarkEnd w:id="205"/>
      <w:bookmarkEnd w:id="206"/>
      <w:bookmarkEnd w:id="207"/>
      <w:bookmarkEnd w:id="208"/>
      <w:bookmarkEnd w:id="209"/>
      <w:bookmarkEnd w:id="210"/>
    </w:p>
    <w:p w:rsidR="004B2147" w:rsidP="000141F7" w14:paraId="10242185" w14:textId="39BFF3E3">
      <w:pPr>
        <w:pStyle w:val="ssNoHeading1"/>
        <w:rPr>
          <w:color w:val="auto"/>
          <w:shd w:val="clear" w:color="auto" w:fill="auto"/>
        </w:rPr>
      </w:pPr>
      <w:r>
        <w:t xml:space="preserve">Scheme Property which is not cash (or other assets set out in paragraphs </w:t>
      </w:r>
      <w:r>
        <w:fldChar w:fldCharType="begin"/>
      </w:r>
      <w:r>
        <w:instrText xml:space="preserve"> REF _Ref92232453 \r \h </w:instrText>
      </w:r>
      <w:r>
        <w:fldChar w:fldCharType="separate"/>
      </w:r>
      <w:r w:rsidR="0011178A">
        <w:rPr>
          <w:cs/>
        </w:rPr>
        <w:t>‎</w:t>
      </w:r>
      <w:r w:rsidR="0011178A">
        <w:t>3</w:t>
      </w:r>
      <w:r>
        <w:fldChar w:fldCharType="end"/>
      </w:r>
      <w:r>
        <w:t xml:space="preserve"> and </w:t>
      </w:r>
      <w:r>
        <w:fldChar w:fldCharType="begin"/>
      </w:r>
      <w:r>
        <w:instrText xml:space="preserve"> REF _Ref92232458 \r \h </w:instrText>
      </w:r>
      <w:r>
        <w:fldChar w:fldCharType="separate"/>
      </w:r>
      <w:r w:rsidR="0011178A">
        <w:rPr>
          <w:cs/>
        </w:rPr>
        <w:t>‎</w:t>
      </w:r>
      <w:r w:rsidR="0011178A">
        <w:t>4</w:t>
      </w:r>
      <w:r>
        <w:fldChar w:fldCharType="end"/>
      </w:r>
      <w:r>
        <w:t xml:space="preserve"> below) or a contingent liability transaction shall be valued as follows and the prices used shall (subject as follows) be the most recent prices which it is practicable to obtain:</w:t>
      </w:r>
    </w:p>
    <w:p w:rsidR="004B2147" w:rsidP="00711287" w14:paraId="5526B75E" w14:textId="77777777">
      <w:pPr>
        <w:pStyle w:val="ssNoHeading2"/>
        <w:tabs>
          <w:tab w:val="clear" w:pos="709"/>
          <w:tab w:val="num" w:pos="1418"/>
        </w:tabs>
        <w:ind w:left="1418"/>
        <w:rPr>
          <w:color w:val="auto"/>
          <w:shd w:val="clear" w:color="auto" w:fill="auto"/>
        </w:rPr>
      </w:pPr>
      <w:r>
        <w:t>units or shares in a collective investment scheme:</w:t>
      </w:r>
    </w:p>
    <w:p w:rsidR="004B2147" w:rsidP="00711287" w14:paraId="49557900" w14:textId="6D7744EB">
      <w:pPr>
        <w:pStyle w:val="ssNoHeading3"/>
        <w:tabs>
          <w:tab w:val="clear" w:pos="1418"/>
          <w:tab w:val="num" w:pos="2127"/>
        </w:tabs>
        <w:ind w:left="2127"/>
        <w:rPr>
          <w:color w:val="auto"/>
          <w:shd w:val="clear" w:color="auto" w:fill="auto"/>
        </w:rPr>
      </w:pPr>
      <w:r>
        <w:t>if a single price for buying and redeeming units or shares is quoted, at that price; or</w:t>
      </w:r>
    </w:p>
    <w:p w:rsidR="004B2147" w:rsidP="00711287" w14:paraId="6F0FC565" w14:textId="77777777">
      <w:pPr>
        <w:pStyle w:val="ssNoHeading3"/>
        <w:tabs>
          <w:tab w:val="clear" w:pos="1418"/>
          <w:tab w:val="num" w:pos="2127"/>
        </w:tabs>
        <w:ind w:left="2127"/>
        <w:rPr>
          <w:color w:val="auto"/>
          <w:shd w:val="clear" w:color="auto" w:fill="auto"/>
        </w:rPr>
      </w:pPr>
      <w:r>
        <w:t>if separate buying and selling prices are quoted, at the average of the two prices provided the buying price has been reduced by any initial charge included therein and the selling price has been increased by any exit or redemption charge(s) attributable thereto; or</w:t>
      </w:r>
    </w:p>
    <w:p w:rsidR="004B2147" w:rsidP="00711287" w14:paraId="4B14B012" w14:textId="1B74AEEE">
      <w:pPr>
        <w:pStyle w:val="ssNoHeading3"/>
        <w:tabs>
          <w:tab w:val="clear" w:pos="1418"/>
          <w:tab w:val="num" w:pos="2127"/>
        </w:tabs>
        <w:ind w:left="2127"/>
        <w:rPr>
          <w:color w:val="auto"/>
          <w:shd w:val="clear" w:color="auto" w:fill="auto"/>
        </w:rPr>
      </w:pPr>
      <w:r>
        <w:t>if, in the opinion of the ACD, the price obtained is unreliable or no recent traded price is available or exists, or if the most recent price available does not reflect the ACD’s best estimate of the value of the relevant assets, at a value which, in the opinion of the ACD, is fair and reasonable;</w:t>
      </w:r>
    </w:p>
    <w:p w:rsidR="004B2147" w:rsidP="00711287" w14:paraId="73B39075" w14:textId="29B1579F">
      <w:pPr>
        <w:pStyle w:val="ssNoHeading2"/>
        <w:tabs>
          <w:tab w:val="clear" w:pos="709"/>
          <w:tab w:val="num" w:pos="1418"/>
        </w:tabs>
        <w:ind w:left="1418"/>
        <w:rPr>
          <w:color w:val="auto"/>
          <w:shd w:val="clear" w:color="auto" w:fill="auto"/>
        </w:rPr>
      </w:pPr>
      <w:r>
        <w:t>immovable property:</w:t>
      </w:r>
    </w:p>
    <w:p w:rsidR="004B2147" w:rsidP="00711287" w14:paraId="4AB9C440" w14:textId="0CE95F5C">
      <w:pPr>
        <w:pStyle w:val="ssNoHeading3"/>
        <w:tabs>
          <w:tab w:val="clear" w:pos="1418"/>
          <w:tab w:val="num" w:pos="2127"/>
        </w:tabs>
        <w:ind w:left="2127"/>
        <w:rPr>
          <w:color w:val="auto"/>
          <w:shd w:val="clear" w:color="auto" w:fill="auto"/>
        </w:rPr>
      </w:pPr>
      <w:r>
        <w:t>by a standing independent valuer (as defined in the FCA Rules) appointed by the ACD with the approval of the Depositary, on the basis of a valuation undertaken in accordance with UKVPS 3 and 2.3 of UKVPGA of the RICS Valuation – Global Standards 2017, UK national supplement 2018 (the RCIS Red Book) or, in the case of overseas immovables (if any) on an appropriate basis, but subject to any other provision of this Instrument;</w:t>
      </w:r>
    </w:p>
    <w:p w:rsidR="004B2147" w:rsidP="00711287" w14:paraId="53AAACE1" w14:textId="77777777">
      <w:pPr>
        <w:pStyle w:val="ssNoHeading3"/>
        <w:tabs>
          <w:tab w:val="clear" w:pos="1418"/>
          <w:tab w:val="num" w:pos="2127"/>
        </w:tabs>
        <w:ind w:left="2127"/>
        <w:rPr>
          <w:color w:val="auto"/>
          <w:shd w:val="clear" w:color="auto" w:fill="auto"/>
        </w:rPr>
      </w:pPr>
      <w:r>
        <w:t>on the basis of a full valuation with physical inspection (including, where the immovable is or includes a building, internal inspection), at least once a year; and</w:t>
      </w:r>
    </w:p>
    <w:p w:rsidR="004B2147" w:rsidP="00711287" w14:paraId="55B72794" w14:textId="77777777">
      <w:pPr>
        <w:pStyle w:val="ssNoHeading3"/>
        <w:tabs>
          <w:tab w:val="clear" w:pos="1418"/>
          <w:tab w:val="num" w:pos="2127"/>
        </w:tabs>
        <w:ind w:left="2127"/>
        <w:rPr>
          <w:color w:val="auto"/>
          <w:spacing w:val="-2"/>
          <w:shd w:val="clear" w:color="auto" w:fill="auto"/>
        </w:rPr>
      </w:pPr>
      <w:r>
        <w:t>on the basis of the last full valuation, at least once a month;]</w:t>
      </w:r>
      <w:r>
        <w:rPr>
          <w:rStyle w:val="EndnoteReference"/>
        </w:rPr>
        <w:endnoteReference w:id="48"/>
      </w:r>
    </w:p>
    <w:p w:rsidR="004B2147" w:rsidP="00711287" w14:paraId="6E762B8F" w14:textId="0B763E54">
      <w:pPr>
        <w:pStyle w:val="ssNoHeading2"/>
        <w:tabs>
          <w:tab w:val="clear" w:pos="709"/>
          <w:tab w:val="num" w:pos="1418"/>
        </w:tabs>
        <w:ind w:left="1418"/>
        <w:rPr>
          <w:color w:val="auto"/>
          <w:shd w:val="clear" w:color="auto" w:fill="auto"/>
        </w:rPr>
      </w:pPr>
      <w:r>
        <w:t>exchange-traded derivative contracts:</w:t>
      </w:r>
    </w:p>
    <w:p w:rsidR="004B2147" w:rsidP="00711287" w14:paraId="46720223" w14:textId="77777777">
      <w:pPr>
        <w:pStyle w:val="ssNoHeading3"/>
        <w:tabs>
          <w:tab w:val="clear" w:pos="1418"/>
          <w:tab w:val="num" w:pos="2127"/>
        </w:tabs>
        <w:ind w:left="2127"/>
        <w:rPr>
          <w:color w:val="auto"/>
          <w:shd w:val="clear" w:color="auto" w:fill="auto"/>
        </w:rPr>
      </w:pPr>
      <w:r>
        <w:t>if a single price for buying and selling the exchange-traded derivative contract is quoted, at that price; or</w:t>
      </w:r>
    </w:p>
    <w:p w:rsidR="004B2147" w:rsidP="00711287" w14:paraId="1EC8D5DA" w14:textId="77777777">
      <w:pPr>
        <w:pStyle w:val="ssNoHeading3"/>
        <w:tabs>
          <w:tab w:val="clear" w:pos="1418"/>
          <w:tab w:val="num" w:pos="2127"/>
        </w:tabs>
        <w:ind w:left="2127"/>
        <w:rPr>
          <w:color w:val="auto"/>
          <w:shd w:val="clear" w:color="auto" w:fill="auto"/>
        </w:rPr>
      </w:pPr>
      <w:r>
        <w:t xml:space="preserve">if separate buying and selling prices are quoted, at the average of the two prices; </w:t>
      </w:r>
    </w:p>
    <w:p w:rsidR="004B2147" w:rsidP="00711287" w14:paraId="19C0DD92" w14:textId="77777777">
      <w:pPr>
        <w:pStyle w:val="ssNoHeading2"/>
        <w:tabs>
          <w:tab w:val="clear" w:pos="709"/>
          <w:tab w:val="num" w:pos="1418"/>
        </w:tabs>
        <w:ind w:left="1418"/>
        <w:rPr>
          <w:color w:val="auto"/>
          <w:shd w:val="clear" w:color="auto" w:fill="auto"/>
        </w:rPr>
      </w:pPr>
      <w:r>
        <w:t>over-the-counter derivative contracts shall be valued in accordance with the method of valuation as shall have been agreed between the ACD and the Depositary;</w:t>
      </w:r>
      <w:r>
        <w:rPr>
          <w:rStyle w:val="EndnoteReference"/>
        </w:rPr>
        <w:endnoteReference w:id="49"/>
      </w:r>
    </w:p>
    <w:p w:rsidR="004B2147" w:rsidP="00711287" w14:paraId="1700E78F" w14:textId="77777777">
      <w:pPr>
        <w:pStyle w:val="ssNoHeading2"/>
        <w:tabs>
          <w:tab w:val="clear" w:pos="709"/>
          <w:tab w:val="num" w:pos="1418"/>
        </w:tabs>
        <w:ind w:left="1418"/>
        <w:rPr>
          <w:color w:val="auto"/>
          <w:shd w:val="clear" w:color="auto" w:fill="auto"/>
        </w:rPr>
      </w:pPr>
      <w:r>
        <w:t>any other investment:</w:t>
      </w:r>
    </w:p>
    <w:p w:rsidR="004B2147" w:rsidP="00711287" w14:paraId="18C0114C" w14:textId="77777777">
      <w:pPr>
        <w:pStyle w:val="ssNoHeading3"/>
        <w:tabs>
          <w:tab w:val="clear" w:pos="1418"/>
          <w:tab w:val="num" w:pos="2127"/>
        </w:tabs>
        <w:ind w:left="2127"/>
        <w:rPr>
          <w:color w:val="auto"/>
          <w:shd w:val="clear" w:color="auto" w:fill="auto"/>
        </w:rPr>
      </w:pPr>
      <w:r>
        <w:t>if a single price for buying and selling the security is quoted, at that price; or</w:t>
      </w:r>
    </w:p>
    <w:p w:rsidR="004B2147" w:rsidP="00711287" w14:paraId="1B645ADE" w14:textId="77777777">
      <w:pPr>
        <w:pStyle w:val="ssNoHeading3"/>
        <w:tabs>
          <w:tab w:val="clear" w:pos="1418"/>
          <w:tab w:val="num" w:pos="2127"/>
        </w:tabs>
        <w:ind w:left="2127"/>
        <w:rPr>
          <w:color w:val="auto"/>
          <w:shd w:val="clear" w:color="auto" w:fill="auto"/>
        </w:rPr>
      </w:pPr>
      <w:r>
        <w:t>if separate buying and selling prices are quoted, at the average of the two prices; or</w:t>
      </w:r>
    </w:p>
    <w:p w:rsidR="004B2147" w:rsidP="00711287" w14:paraId="73FEAA59" w14:textId="77CF5A77">
      <w:pPr>
        <w:pStyle w:val="ssNoHeading3"/>
        <w:tabs>
          <w:tab w:val="clear" w:pos="1418"/>
          <w:tab w:val="num" w:pos="2127"/>
        </w:tabs>
        <w:ind w:left="2127"/>
        <w:rPr>
          <w:color w:val="auto"/>
          <w:shd w:val="clear" w:color="auto" w:fill="auto"/>
        </w:rPr>
      </w:pPr>
      <w:r>
        <w:t xml:space="preserve">if, in the opinion of the ACD, the price obtained is unreliable or no recent traded price is available or exists </w:t>
      </w:r>
      <w:r>
        <w:rPr>
          <w:color w:val="000000"/>
        </w:rPr>
        <w:t>or if the most recent price available does not reflect the ACD’s best estimate of the value of the security</w:t>
      </w:r>
      <w:r>
        <w:t>, at a value which, in the opinion of the ACD, is fair and reasonable; and</w:t>
      </w:r>
    </w:p>
    <w:p w:rsidR="004B2147" w:rsidP="00711287" w14:paraId="0BD9FEEA" w14:textId="0A7DB0D4">
      <w:pPr>
        <w:pStyle w:val="ssNoHeading2"/>
        <w:tabs>
          <w:tab w:val="clear" w:pos="709"/>
          <w:tab w:val="num" w:pos="1418"/>
        </w:tabs>
        <w:ind w:left="1418"/>
        <w:rPr>
          <w:color w:val="auto"/>
          <w:shd w:val="clear" w:color="auto" w:fill="auto"/>
        </w:rPr>
      </w:pPr>
      <w:r>
        <w:rPr>
          <w:spacing w:val="-2"/>
        </w:rPr>
        <w:t xml:space="preserve">Scheme </w:t>
      </w:r>
      <w:r w:rsidRPr="00711287">
        <w:t>Property</w:t>
      </w:r>
      <w:r>
        <w:t xml:space="preserve"> other than that described above: at a value which, in the opinion of the ACD, is fair.</w:t>
      </w:r>
    </w:p>
    <w:p w:rsidR="004B2147" w:rsidP="000141F7" w14:paraId="4514FDBF" w14:textId="77777777">
      <w:pPr>
        <w:pStyle w:val="ssNoHeading1"/>
        <w:rPr>
          <w:color w:val="auto"/>
          <w:shd w:val="clear" w:color="auto" w:fill="auto"/>
        </w:rPr>
      </w:pPr>
      <w:bookmarkStart w:id="211" w:name="_Ref92232453"/>
      <w:r>
        <w:t>Cash and amounts held in current, deposit and margin accounts and in other time-related deposits shall be valued at their nominal values.</w:t>
      </w:r>
      <w:bookmarkEnd w:id="211"/>
    </w:p>
    <w:p w:rsidR="004B2147" w:rsidP="000141F7" w14:paraId="51575EB4" w14:textId="26A1C003">
      <w:pPr>
        <w:pStyle w:val="ssNoHeading1"/>
        <w:rPr>
          <w:color w:val="auto"/>
          <w:shd w:val="clear" w:color="auto" w:fill="auto"/>
        </w:rPr>
      </w:pPr>
      <w:bookmarkStart w:id="212" w:name="_Ref92232458"/>
      <w:r>
        <w:t xml:space="preserve">In determining the value of the </w:t>
      </w:r>
      <w:r w:rsidR="003B7A9C">
        <w:t>Scheme Property</w:t>
      </w:r>
      <w:r>
        <w:t>, all instructions given to issue or cancel shares shall be assumed (unless the contrary is shown) to have been carried out and any cash payment made or received and all consequential action required by the Regulations or this Instrument shall be assumed (unless the contrary has been shown) to have been taken.</w:t>
      </w:r>
      <w:bookmarkEnd w:id="212"/>
    </w:p>
    <w:p w:rsidR="004B2147" w:rsidP="000141F7" w14:paraId="1FD902D3" w14:textId="03112D5A">
      <w:pPr>
        <w:pStyle w:val="ssNoHeading1"/>
        <w:rPr>
          <w:color w:val="auto"/>
          <w:shd w:val="clear" w:color="auto" w:fill="auto"/>
        </w:rPr>
      </w:pPr>
      <w:bookmarkStart w:id="213" w:name="_Ref92231893"/>
      <w:r>
        <w:t xml:space="preserve">Subject to paragraphs </w:t>
      </w:r>
      <w:r>
        <w:fldChar w:fldCharType="begin"/>
      </w:r>
      <w:r>
        <w:instrText xml:space="preserve"> REF _Ref92231872  h \n</w:instrText>
      </w:r>
      <w:r>
        <w:fldChar w:fldCharType="separate"/>
      </w:r>
      <w:r w:rsidR="0011178A">
        <w:rPr>
          <w:cs/>
        </w:rPr>
        <w:t>‎</w:t>
      </w:r>
      <w:r w:rsidR="0011178A">
        <w:t>6</w:t>
      </w:r>
      <w:r>
        <w:fldChar w:fldCharType="end"/>
      </w:r>
      <w:r>
        <w:t xml:space="preserve"> and </w:t>
      </w:r>
      <w:r>
        <w:fldChar w:fldCharType="begin"/>
      </w:r>
      <w:r>
        <w:instrText xml:space="preserve"> REF _Ref92231880  h \n</w:instrText>
      </w:r>
      <w:r>
        <w:fldChar w:fldCharType="separate"/>
      </w:r>
      <w:r w:rsidR="0011178A">
        <w:rPr>
          <w:cs/>
        </w:rPr>
        <w:t>‎</w:t>
      </w:r>
      <w:r w:rsidR="0011178A">
        <w:t>7</w:t>
      </w:r>
      <w:r>
        <w:fldChar w:fldCharType="end"/>
      </w:r>
      <w:r>
        <w:t xml:space="preserve"> below, agreements for the unconditional sale or purchase of property which are in existence but uncompleted shall be assumed to have been completed and all consequential action required to have been taken.</w:t>
      </w:r>
      <w:r w:rsidR="000F6F38">
        <w:t xml:space="preserve"> </w:t>
      </w:r>
      <w:r>
        <w:t>Such unconditional agreements need not be taken into account if made shortly before the valuation takes place and, in the opinion of the ACD, their omission shall not materially affect the final net asset amount.</w:t>
      </w:r>
      <w:bookmarkEnd w:id="213"/>
    </w:p>
    <w:p w:rsidR="004B2147" w:rsidP="000141F7" w14:paraId="634E0D8D" w14:textId="025A986B">
      <w:pPr>
        <w:pStyle w:val="ssNoHeading1"/>
        <w:rPr>
          <w:color w:val="auto"/>
          <w:shd w:val="clear" w:color="auto" w:fill="auto"/>
        </w:rPr>
      </w:pPr>
      <w:bookmarkStart w:id="214" w:name="_Ref92231872"/>
      <w:bookmarkStart w:id="215" w:name="_Ref92231977"/>
      <w:r>
        <w:t xml:space="preserve">Futures or contracts for differences which are not yet due to be performed and unexpired and unexercised written or purchased options shall not be included under </w:t>
      </w:r>
      <w:bookmarkEnd w:id="214"/>
      <w:r>
        <w:t xml:space="preserve">paragraph </w:t>
      </w:r>
      <w:r>
        <w:fldChar w:fldCharType="begin"/>
      </w:r>
      <w:r>
        <w:instrText xml:space="preserve"> REF _Ref92231893  h \n</w:instrText>
      </w:r>
      <w:r>
        <w:fldChar w:fldCharType="separate"/>
      </w:r>
      <w:r w:rsidR="0011178A">
        <w:rPr>
          <w:cs/>
        </w:rPr>
        <w:t>‎</w:t>
      </w:r>
      <w:r w:rsidR="0011178A">
        <w:t>5</w:t>
      </w:r>
      <w:r>
        <w:fldChar w:fldCharType="end"/>
      </w:r>
      <w:bookmarkEnd w:id="215"/>
      <w:r>
        <w:t>.</w:t>
      </w:r>
    </w:p>
    <w:p w:rsidR="004B2147" w:rsidP="000141F7" w14:paraId="446ABD34" w14:textId="5C6FA4A2">
      <w:pPr>
        <w:pStyle w:val="ssNoHeading1"/>
        <w:rPr>
          <w:color w:val="auto"/>
          <w:shd w:val="clear" w:color="auto" w:fill="auto"/>
        </w:rPr>
      </w:pPr>
      <w:bookmarkStart w:id="216" w:name="_Ref92231880"/>
      <w:r>
        <w:t xml:space="preserve">All agreements are to be included under paragraph </w:t>
      </w:r>
      <w:r>
        <w:fldChar w:fldCharType="begin"/>
      </w:r>
      <w:r>
        <w:instrText xml:space="preserve"> REF _Ref92231893  h \n</w:instrText>
      </w:r>
      <w:r>
        <w:fldChar w:fldCharType="separate"/>
      </w:r>
      <w:r w:rsidR="0011178A">
        <w:rPr>
          <w:cs/>
        </w:rPr>
        <w:t>‎</w:t>
      </w:r>
      <w:r w:rsidR="0011178A">
        <w:t>5</w:t>
      </w:r>
      <w:r>
        <w:fldChar w:fldCharType="end"/>
      </w:r>
      <w:r>
        <w:t xml:space="preserve"> which are, or ought reasonably to have been, known to the person valuing the property assuming that all other persons in the ACD’s employment take all reasonable steps to inform it immediately of the making of any agreement.</w:t>
      </w:r>
      <w:bookmarkEnd w:id="216"/>
    </w:p>
    <w:p w:rsidR="004B2147" w:rsidP="000141F7" w14:paraId="4DE94BB5" w14:textId="7CAA21B9">
      <w:pPr>
        <w:pStyle w:val="ssNoHeading1"/>
        <w:rPr>
          <w:color w:val="auto"/>
          <w:shd w:val="clear" w:color="auto" w:fill="auto"/>
        </w:rPr>
      </w:pPr>
      <w:r>
        <w:t>Deduct an estimated amount for anticipated tax liabilities (on unrealised capital gains where the liabilities have accrued and are payable out of the Scheme</w:t>
      </w:r>
      <w:r w:rsidR="003B7A9C">
        <w:t xml:space="preserve"> Property</w:t>
      </w:r>
      <w:r>
        <w:t>; on realised capital gains in respect of previously completed and current accounting periods; and on income where liabilities have accrued) including (as applicable and without limitation) capital gains tax, income tax, corporation tax , value added tax, stamp duty and stamp duty reserve tax.</w:t>
      </w:r>
    </w:p>
    <w:p w:rsidR="004B2147" w:rsidP="000141F7" w14:paraId="0A0A341A" w14:textId="1F06CF34">
      <w:pPr>
        <w:pStyle w:val="ssNoHeading1"/>
        <w:rPr>
          <w:color w:val="auto"/>
          <w:shd w:val="clear" w:color="auto" w:fill="auto"/>
        </w:rPr>
      </w:pPr>
      <w:r>
        <w:t xml:space="preserve">Deduct an estimated amount for any liabilities payable out of the </w:t>
      </w:r>
      <w:r w:rsidR="003B7A9C">
        <w:t xml:space="preserve">Scheme Property </w:t>
      </w:r>
      <w:r>
        <w:t>and any tax thereon treating periodic items as accruing from day to day.</w:t>
      </w:r>
    </w:p>
    <w:p w:rsidR="004B2147" w:rsidP="000141F7" w14:paraId="447D78A6" w14:textId="77777777">
      <w:pPr>
        <w:pStyle w:val="ssNoHeading1"/>
        <w:rPr>
          <w:color w:val="auto"/>
          <w:shd w:val="clear" w:color="auto" w:fill="auto"/>
        </w:rPr>
      </w:pPr>
      <w:r>
        <w:t>Deduct the principal amount of any outstanding borrowings whenever payable and any accrued but unpaid interest on borrowings.</w:t>
      </w:r>
    </w:p>
    <w:p w:rsidR="004B2147" w:rsidP="000141F7" w14:paraId="1C8A62C8" w14:textId="77777777">
      <w:pPr>
        <w:pStyle w:val="ssNoHeading1"/>
        <w:rPr>
          <w:color w:val="auto"/>
          <w:shd w:val="clear" w:color="auto" w:fill="auto"/>
        </w:rPr>
      </w:pPr>
      <w:r>
        <w:t>Add an estimated amount for accrued claims for tax of whatever nature which may be recoverable.</w:t>
      </w:r>
    </w:p>
    <w:p w:rsidR="004B2147" w:rsidP="000141F7" w14:paraId="03FC4A68" w14:textId="50A2D25D">
      <w:pPr>
        <w:pStyle w:val="ssNoHeading1"/>
        <w:rPr>
          <w:color w:val="auto"/>
          <w:shd w:val="clear" w:color="auto" w:fill="auto"/>
        </w:rPr>
      </w:pPr>
      <w:r>
        <w:t xml:space="preserve">Add any other credits or amounts due to be paid into the </w:t>
      </w:r>
      <w:r w:rsidR="003B7A9C">
        <w:t>Scheme Property</w:t>
      </w:r>
      <w:r>
        <w:t>.</w:t>
      </w:r>
    </w:p>
    <w:p w:rsidR="004B2147" w:rsidP="000141F7" w14:paraId="00BF30A8" w14:textId="77777777">
      <w:pPr>
        <w:pStyle w:val="ssNoHeading1"/>
        <w:rPr>
          <w:color w:val="auto"/>
          <w:shd w:val="clear" w:color="auto" w:fill="auto"/>
        </w:rPr>
      </w:pPr>
      <w:r>
        <w:t>Add a sum representing any interest or any income accrued due or deemed to have accrued but not received and any stamp duty reserve tax provision anticipated to be received.</w:t>
      </w:r>
    </w:p>
    <w:p w:rsidR="004B2147" w:rsidP="000141F7" w14:paraId="41BA4B56" w14:textId="4772CDB1">
      <w:pPr>
        <w:pStyle w:val="ssNoHeading1"/>
        <w:rPr>
          <w:color w:val="auto"/>
          <w:spacing w:val="-2"/>
          <w:shd w:val="clear" w:color="auto" w:fill="auto"/>
        </w:rPr>
      </w:pPr>
      <w:r>
        <w:t>Currencies or values in currencies other than the base currency [or (as the case may be) the designated currency of a Fund]</w:t>
      </w:r>
      <w:r>
        <w:rPr>
          <w:rStyle w:val="EndnoteReference"/>
        </w:rPr>
        <w:endnoteReference w:id="50"/>
      </w:r>
      <w:r>
        <w:t xml:space="preserve"> shall be converted at the relevant valuation point at a rate of exchange that is not likely to result in any material prejudice to the interests of Shareholders or potential Shareholders.</w:t>
      </w:r>
    </w:p>
    <w:p w:rsidR="004B2147" w:rsidP="00367AC2" w14:paraId="22E905D3" w14:textId="77777777">
      <w:pPr>
        <w:pStyle w:val="ssNoHeading1"/>
        <w:numPr>
          <w:ilvl w:val="0"/>
          <w:numId w:val="0"/>
        </w:numPr>
        <w:rPr>
          <w:color w:val="auto"/>
          <w:spacing w:val="-2"/>
          <w:shd w:val="clear" w:color="auto" w:fill="auto"/>
        </w:rPr>
      </w:pPr>
      <w:r>
        <w:br w:type="page"/>
      </w:r>
    </w:p>
    <w:p w:rsidR="004B2147" w:rsidRPr="00765C90" w:rsidP="00765C90" w14:paraId="325FF184" w14:textId="5097D616">
      <w:pPr>
        <w:pStyle w:val="ssPara1"/>
        <w:jc w:val="center"/>
        <w:rPr>
          <w:b/>
          <w:color w:val="auto"/>
          <w:shd w:val="clear" w:color="auto" w:fill="auto"/>
        </w:rPr>
      </w:pPr>
      <w:r w:rsidRPr="00016C3C">
        <w:rPr>
          <w:b/>
        </w:rPr>
        <w:t>[DUAL PRICED SCHEMES]</w:t>
      </w:r>
      <w:r>
        <w:rPr>
          <w:rStyle w:val="EndnoteReference"/>
          <w:bCs/>
        </w:rPr>
        <w:endnoteReference w:id="51"/>
      </w:r>
    </w:p>
    <w:p w:rsidR="004B2147" w:rsidRPr="00EC19F3" w:rsidP="000141F7" w14:paraId="3F028C5D" w14:textId="77777777">
      <w:pPr>
        <w:pStyle w:val="ssRestartNumber"/>
        <w:rPr>
          <w:color w:val="auto"/>
          <w:shd w:val="clear" w:color="auto" w:fill="auto"/>
        </w:rPr>
      </w:pPr>
    </w:p>
    <w:p w:rsidR="004B2147" w:rsidP="000141F7" w14:paraId="5FCF93A4" w14:textId="51C99C4A">
      <w:pPr>
        <w:pStyle w:val="ssPara"/>
        <w:rPr>
          <w:color w:val="auto"/>
          <w:shd w:val="clear" w:color="auto" w:fill="auto"/>
        </w:rPr>
      </w:pPr>
      <w:bookmarkStart w:id="217" w:name="_DV_M198"/>
      <w:bookmarkEnd w:id="217"/>
      <w:r>
        <w:t xml:space="preserve">The value of the Scheme </w:t>
      </w:r>
      <w:r w:rsidR="00BC4B44">
        <w:t>Property of the Company [or Fund (as the case may be)]</w:t>
      </w:r>
      <w:r w:rsidR="00AD5133">
        <w:rPr>
          <w:vertAlign w:val="superscript"/>
        </w:rPr>
        <w:t>2</w:t>
      </w:r>
      <w:r w:rsidR="00BC4B44">
        <w:rPr>
          <w:vertAlign w:val="superscript"/>
        </w:rPr>
        <w:t xml:space="preserve"> </w:t>
      </w:r>
      <w:r>
        <w:t>shall be the value of its assets less the value of its liabilities determined in accordance with the following provisions.</w:t>
      </w:r>
      <w:r w:rsidR="003C72AC">
        <w:t xml:space="preserve"> [For the purposes of calculating the Net Asset Value of the Company [or Fund (as the case may be)]</w:t>
      </w:r>
      <w:r w:rsidR="00AD5133">
        <w:rPr>
          <w:vertAlign w:val="superscript"/>
        </w:rPr>
        <w:t>2</w:t>
      </w:r>
      <w:r w:rsidR="003C72AC">
        <w:t>, an</w:t>
      </w:r>
      <w:r w:rsidR="000A1A1F">
        <w:t>y</w:t>
      </w:r>
      <w:r w:rsidR="003C72AC">
        <w:t xml:space="preserve"> Side Pocket Assets attributable to any Special Investment Shares in issue shall be </w:t>
      </w:r>
      <w:r w:rsidR="000A1A1F">
        <w:t>excluded</w:t>
      </w:r>
      <w:r w:rsidR="000F6F38">
        <w:t xml:space="preserve"> </w:t>
      </w:r>
      <w:r w:rsidR="003C72AC">
        <w:t>and shall instead be attributed to the appropriate Special Investment Share(s).]</w:t>
      </w:r>
      <w:r>
        <w:rPr>
          <w:rStyle w:val="EndnoteReference"/>
        </w:rPr>
        <w:endnoteReference w:id="52"/>
      </w:r>
    </w:p>
    <w:p w:rsidR="004B2147" w:rsidP="000141F7" w14:paraId="395FDBD6" w14:textId="38772840">
      <w:pPr>
        <w:pStyle w:val="ssNoHeading1"/>
        <w:rPr>
          <w:color w:val="auto"/>
          <w:shd w:val="clear" w:color="auto" w:fill="auto"/>
        </w:rPr>
      </w:pPr>
      <w:r>
        <w:t xml:space="preserve">All the Scheme </w:t>
      </w:r>
      <w:r w:rsidR="00BC4B44">
        <w:t xml:space="preserve">Property </w:t>
      </w:r>
      <w:r>
        <w:t>(including receivables) is to be included, subject to the following provisions.</w:t>
      </w:r>
    </w:p>
    <w:p w:rsidR="004B2147" w:rsidP="000141F7" w14:paraId="2D8171BE" w14:textId="4E4FFD5C">
      <w:pPr>
        <w:pStyle w:val="ssNoHeading1"/>
        <w:rPr>
          <w:color w:val="auto"/>
          <w:shd w:val="clear" w:color="auto" w:fill="auto"/>
        </w:rPr>
      </w:pPr>
      <w:bookmarkStart w:id="218" w:name="_DV_M200"/>
      <w:bookmarkEnd w:id="218"/>
      <w:r>
        <w:t xml:space="preserve">The valuation of the Scheme </w:t>
      </w:r>
      <w:r w:rsidR="00BC4B44">
        <w:t xml:space="preserve">Property </w:t>
      </w:r>
      <w:r>
        <w:t>shall consist of two parts, one on an issue basis and one on a cancellation basis calculated in accordance with the following provisions.</w:t>
      </w:r>
    </w:p>
    <w:p w:rsidR="004B2147" w:rsidP="00711287" w14:paraId="59F5470F" w14:textId="77777777">
      <w:pPr>
        <w:pStyle w:val="ssNoHeading2"/>
        <w:tabs>
          <w:tab w:val="clear" w:pos="709"/>
          <w:tab w:val="num" w:pos="1418"/>
        </w:tabs>
        <w:ind w:left="1418"/>
        <w:rPr>
          <w:color w:val="auto"/>
          <w:shd w:val="clear" w:color="auto" w:fill="auto"/>
        </w:rPr>
      </w:pPr>
      <w:bookmarkStart w:id="219" w:name="_DV_M201"/>
      <w:bookmarkEnd w:id="219"/>
      <w:r>
        <w:t>The valuation of property for that part of the valuation which is on an issue basis is as follows:</w:t>
      </w:r>
    </w:p>
    <w:p w:rsidR="004B2147" w:rsidP="00711287" w14:paraId="31B3FDC4" w14:textId="10679B52">
      <w:pPr>
        <w:pStyle w:val="ssNoHeading3"/>
        <w:tabs>
          <w:tab w:val="clear" w:pos="1418"/>
          <w:tab w:val="num" w:pos="2127"/>
        </w:tabs>
        <w:ind w:left="2127"/>
        <w:rPr>
          <w:color w:val="auto"/>
          <w:shd w:val="clear" w:color="auto" w:fill="auto"/>
        </w:rPr>
      </w:pPr>
      <w:bookmarkStart w:id="220" w:name="_DV_M202"/>
      <w:bookmarkEnd w:id="220"/>
      <w:r>
        <w:t xml:space="preserve">Scheme Property which is not cash (or other assets dealt with in paragraphs </w:t>
      </w:r>
      <w:r>
        <w:fldChar w:fldCharType="begin"/>
      </w:r>
      <w:r>
        <w:instrText xml:space="preserve"> REF _Ref92232486 \r \h </w:instrText>
      </w:r>
      <w:r>
        <w:fldChar w:fldCharType="separate"/>
      </w:r>
      <w:r w:rsidR="0011178A">
        <w:rPr>
          <w:cs/>
        </w:rPr>
        <w:t>‎</w:t>
      </w:r>
      <w:r w:rsidR="0011178A">
        <w:t>3</w:t>
      </w:r>
      <w:r>
        <w:fldChar w:fldCharType="end"/>
      </w:r>
      <w:r>
        <w:t xml:space="preserve"> and </w:t>
      </w:r>
      <w:r>
        <w:fldChar w:fldCharType="begin"/>
      </w:r>
      <w:r>
        <w:instrText xml:space="preserve"> REF _Ref92232490 \r \h </w:instrText>
      </w:r>
      <w:r>
        <w:fldChar w:fldCharType="separate"/>
      </w:r>
      <w:r w:rsidR="0011178A">
        <w:rPr>
          <w:cs/>
        </w:rPr>
        <w:t>‎</w:t>
      </w:r>
      <w:r w:rsidR="0011178A">
        <w:t>4</w:t>
      </w:r>
      <w:r>
        <w:fldChar w:fldCharType="end"/>
      </w:r>
      <w:r>
        <w:t xml:space="preserve"> below) shall be valued as follows and the prices used shall (subject as follows) be the most recent prices which it is practicable to obtain:</w:t>
      </w:r>
    </w:p>
    <w:p w:rsidR="004B2147" w:rsidP="00711287" w14:paraId="611B1095" w14:textId="77777777">
      <w:pPr>
        <w:pStyle w:val="ssNoHeading4"/>
        <w:tabs>
          <w:tab w:val="clear" w:pos="1985"/>
          <w:tab w:val="num" w:pos="2694"/>
        </w:tabs>
        <w:ind w:left="2694"/>
        <w:rPr>
          <w:color w:val="auto"/>
          <w:shd w:val="clear" w:color="auto" w:fill="auto"/>
        </w:rPr>
      </w:pPr>
      <w:bookmarkStart w:id="221" w:name="_DV_M203"/>
      <w:bookmarkEnd w:id="221"/>
      <w:r>
        <w:t>units or shares in a collective investment scheme:</w:t>
      </w:r>
    </w:p>
    <w:p w:rsidR="004B2147" w:rsidP="00711287" w14:paraId="66580FCD" w14:textId="012D16C0">
      <w:pPr>
        <w:pStyle w:val="ssNoHeading5"/>
        <w:tabs>
          <w:tab w:val="clear" w:pos="2552"/>
          <w:tab w:val="num" w:pos="3261"/>
        </w:tabs>
        <w:ind w:left="3261"/>
        <w:rPr>
          <w:color w:val="auto"/>
          <w:shd w:val="clear" w:color="auto" w:fill="auto"/>
        </w:rPr>
      </w:pPr>
      <w:bookmarkStart w:id="222" w:name="_DV_M204"/>
      <w:bookmarkEnd w:id="222"/>
      <w:r>
        <w:t xml:space="preserve">if a single price for buying and selling units or shares is quoted, at that price </w:t>
      </w:r>
      <w:bookmarkStart w:id="223" w:name="_DV_M205"/>
      <w:bookmarkEnd w:id="223"/>
      <w:r>
        <w:t xml:space="preserve">plus any dealing costs (as defined below), any preliminary charge payable by the </w:t>
      </w:r>
      <w:r w:rsidR="003B7A9C">
        <w:t xml:space="preserve">Company </w:t>
      </w:r>
      <w:r>
        <w:t>on the purchase of the units or shares, and any dilution levy or SDRT provision which would be added in the event of a purchase by the</w:t>
      </w:r>
      <w:r w:rsidR="000F6F38">
        <w:t xml:space="preserve"> </w:t>
      </w:r>
      <w:r>
        <w:t xml:space="preserve">Scheme of the units or shares in question (except that, where the ACD, or an associate of the ACD, is also the manager or authorised corporate director of the collective investment scheme whose units or shares are held by the </w:t>
      </w:r>
      <w:r w:rsidR="003B7A9C">
        <w:t>Company</w:t>
      </w:r>
      <w:r>
        <w:t>, the valuation must not include any preliminary charge payable in the event of a purchase of those units or shares);</w:t>
      </w:r>
      <w:r>
        <w:rPr>
          <w:b/>
          <w:bCs/>
          <w:i/>
          <w:iCs/>
        </w:rPr>
        <w:t xml:space="preserve"> </w:t>
      </w:r>
      <w:r>
        <w:t>or</w:t>
      </w:r>
    </w:p>
    <w:p w:rsidR="004B2147" w:rsidP="00711287" w14:paraId="5B6305FC" w14:textId="0E9524A9">
      <w:pPr>
        <w:pStyle w:val="ssNoHeading5"/>
        <w:tabs>
          <w:tab w:val="clear" w:pos="2552"/>
          <w:tab w:val="num" w:pos="3261"/>
        </w:tabs>
        <w:ind w:left="3261"/>
        <w:rPr>
          <w:color w:val="auto"/>
          <w:shd w:val="clear" w:color="auto" w:fill="auto"/>
        </w:rPr>
      </w:pPr>
      <w:bookmarkStart w:id="224" w:name="_DV_M206"/>
      <w:bookmarkEnd w:id="224"/>
      <w:r>
        <w:t xml:space="preserve">if separate buying </w:t>
      </w:r>
      <w:bookmarkStart w:id="225" w:name="_DV_C14"/>
      <w:r>
        <w:t xml:space="preserve">(offer) </w:t>
      </w:r>
      <w:bookmarkStart w:id="226" w:name="_DV_M207"/>
      <w:bookmarkEnd w:id="225"/>
      <w:bookmarkEnd w:id="226"/>
      <w:r>
        <w:t xml:space="preserve">and selling </w:t>
      </w:r>
      <w:bookmarkStart w:id="227" w:name="_DV_C15"/>
      <w:r>
        <w:t xml:space="preserve">(bid) </w:t>
      </w:r>
      <w:bookmarkStart w:id="228" w:name="_DV_M208"/>
      <w:bookmarkEnd w:id="227"/>
      <w:bookmarkEnd w:id="228"/>
      <w:r>
        <w:t xml:space="preserve">prices are quoted, at the </w:t>
      </w:r>
      <w:bookmarkStart w:id="229" w:name="_DV_M209"/>
      <w:bookmarkEnd w:id="229"/>
      <w:r>
        <w:t xml:space="preserve">buying price, less any expected discount </w:t>
      </w:r>
      <w:bookmarkStart w:id="230" w:name="_DV_M210"/>
      <w:bookmarkEnd w:id="230"/>
      <w:r>
        <w:t>plus any dealing costs (as defined below</w:t>
      </w:r>
      <w:bookmarkStart w:id="231" w:name="_DV_M211"/>
      <w:bookmarkEnd w:id="231"/>
      <w:r>
        <w:t xml:space="preserve">), but where the ACD, or an associate of the ACD, is also the manager or authorised corporate director of the collective investment scheme whose units or shares are held by the </w:t>
      </w:r>
      <w:r w:rsidR="003B7A9C">
        <w:t>Company</w:t>
      </w:r>
      <w:r>
        <w:t xml:space="preserve">, the issue price shall be taken instead of the </w:t>
      </w:r>
      <w:bookmarkStart w:id="232" w:name="_DV_C22"/>
      <w:r>
        <w:t>buying</w:t>
      </w:r>
      <w:bookmarkStart w:id="233" w:name="_DV_M212"/>
      <w:bookmarkEnd w:id="232"/>
      <w:bookmarkEnd w:id="233"/>
      <w:r>
        <w:t xml:space="preserve"> price; or</w:t>
      </w:r>
    </w:p>
    <w:p w:rsidR="004B2147" w:rsidP="00711287" w14:paraId="00E97E93" w14:textId="38072ED9">
      <w:pPr>
        <w:pStyle w:val="ssNoHeading5"/>
        <w:tabs>
          <w:tab w:val="clear" w:pos="2552"/>
          <w:tab w:val="num" w:pos="3261"/>
        </w:tabs>
        <w:ind w:left="3261"/>
        <w:rPr>
          <w:color w:val="auto"/>
          <w:shd w:val="clear" w:color="auto" w:fill="auto"/>
        </w:rPr>
      </w:pPr>
      <w:bookmarkStart w:id="234" w:name="_DV_M213"/>
      <w:bookmarkEnd w:id="234"/>
      <w:r>
        <w:t>if, in the opinion of the ACD, the price obtained is unreliable or no recent traded price is available or if no recent price exists or if the most recent price available does not reflect the ACD’s best estimate of the value, at a value which, in the opinion of the ACD, is fair and reasonable;</w:t>
      </w:r>
    </w:p>
    <w:p w:rsidR="004B2147" w:rsidP="00711287" w14:paraId="18A981B4" w14:textId="0AAC32ED">
      <w:pPr>
        <w:pStyle w:val="ssNoHeading4"/>
        <w:tabs>
          <w:tab w:val="clear" w:pos="1985"/>
          <w:tab w:val="num" w:pos="2694"/>
        </w:tabs>
        <w:ind w:left="2694"/>
        <w:rPr>
          <w:color w:val="auto"/>
          <w:shd w:val="clear" w:color="auto" w:fill="auto"/>
        </w:rPr>
      </w:pPr>
      <w:bookmarkStart w:id="235" w:name="_DV_M214"/>
      <w:bookmarkEnd w:id="235"/>
      <w:r>
        <w:t>[immovable property:</w:t>
      </w:r>
    </w:p>
    <w:p w:rsidR="004B2147" w:rsidP="00711287" w14:paraId="39E1A7FD" w14:textId="3E9BB672">
      <w:pPr>
        <w:pStyle w:val="ssNoHeading5"/>
        <w:tabs>
          <w:tab w:val="clear" w:pos="2552"/>
          <w:tab w:val="num" w:pos="3261"/>
        </w:tabs>
        <w:ind w:left="3261"/>
        <w:rPr>
          <w:color w:val="auto"/>
          <w:shd w:val="clear" w:color="auto" w:fill="auto"/>
        </w:rPr>
      </w:pPr>
      <w:bookmarkStart w:id="236" w:name="_DV_M215"/>
      <w:bookmarkStart w:id="237" w:name="_DV_M216"/>
      <w:bookmarkEnd w:id="236"/>
      <w:bookmarkEnd w:id="237"/>
      <w:r>
        <w:t xml:space="preserve">by a standing independent valuer (as defined in the glossary to the </w:t>
      </w:r>
      <w:r>
        <w:rPr>
          <w:bCs/>
        </w:rPr>
        <w:t>FCA</w:t>
      </w:r>
      <w:r>
        <w:t xml:space="preserve"> Rules) [appointed by the ACD with the approval of the Depositary], in accordance with UKVPS 3 and 2.3 of UKVPGA 2 of the RICS Valuation – Global Standards 2017 national </w:t>
      </w:r>
      <w:r>
        <w:t>supplement 2018 (the RICS Red Book) as updated and amended from time to time, or, in the case of overseas immovables (if any) on an appropriate basis, but subject to any other provision</w:t>
      </w:r>
      <w:r w:rsidR="000F6F38">
        <w:t xml:space="preserve"> </w:t>
      </w:r>
      <w:r>
        <w:t>of this Instrument;</w:t>
      </w:r>
    </w:p>
    <w:p w:rsidR="004B2147" w:rsidP="00711287" w14:paraId="20F672D6" w14:textId="77777777">
      <w:pPr>
        <w:pStyle w:val="ssNoHeading5"/>
        <w:tabs>
          <w:tab w:val="clear" w:pos="2552"/>
          <w:tab w:val="num" w:pos="3261"/>
        </w:tabs>
        <w:ind w:left="3261"/>
        <w:rPr>
          <w:color w:val="auto"/>
          <w:shd w:val="clear" w:color="auto" w:fill="auto"/>
        </w:rPr>
      </w:pPr>
      <w:bookmarkStart w:id="238" w:name="_DV_M217"/>
      <w:bookmarkEnd w:id="238"/>
      <w:r>
        <w:t>on the basis of a full valuation with physical inspection (including, where the immovable is or includes a building, internal inspection), at least once a year; and</w:t>
      </w:r>
    </w:p>
    <w:p w:rsidR="004B2147" w:rsidP="00711287" w14:paraId="29A03656" w14:textId="77777777">
      <w:pPr>
        <w:pStyle w:val="ssNoHeading5"/>
        <w:tabs>
          <w:tab w:val="clear" w:pos="2552"/>
          <w:tab w:val="num" w:pos="3261"/>
        </w:tabs>
        <w:ind w:left="3261"/>
        <w:rPr>
          <w:color w:val="auto"/>
          <w:shd w:val="clear" w:color="auto" w:fill="auto"/>
        </w:rPr>
      </w:pPr>
      <w:bookmarkStart w:id="239" w:name="_DV_M218"/>
      <w:bookmarkEnd w:id="239"/>
      <w:r>
        <w:t>on the basis of the last full valuation, at least once a month.;]</w:t>
      </w:r>
      <w:r>
        <w:rPr>
          <w:rStyle w:val="EndnoteReference"/>
        </w:rPr>
        <w:endnoteReference w:id="53"/>
      </w:r>
    </w:p>
    <w:p w:rsidR="004B2147" w:rsidP="00711287" w14:paraId="02515CBC" w14:textId="4632C9E2">
      <w:pPr>
        <w:pStyle w:val="ssPara3"/>
        <w:tabs>
          <w:tab w:val="left" w:pos="2694"/>
        </w:tabs>
        <w:ind w:left="2694" w:hanging="709"/>
        <w:rPr>
          <w:color w:val="auto"/>
          <w:shd w:val="clear" w:color="auto" w:fill="auto"/>
        </w:rPr>
      </w:pPr>
      <w:bookmarkStart w:id="240" w:name="_DV_M219"/>
      <w:bookmarkEnd w:id="240"/>
      <w:r>
        <w:rPr>
          <w:color w:val="000000"/>
        </w:rPr>
        <w:t>[(2)/(3)]</w:t>
      </w:r>
      <w:r>
        <w:rPr>
          <w:color w:val="000000"/>
        </w:rPr>
        <w:tab/>
      </w:r>
      <w:r>
        <w:t>exchange-traded derivative contracts:</w:t>
      </w:r>
    </w:p>
    <w:p w:rsidR="004B2147" w:rsidRPr="00711287" w:rsidP="006C000D" w14:paraId="065F4376" w14:textId="77777777">
      <w:pPr>
        <w:pStyle w:val="Heading5"/>
        <w:numPr>
          <w:ilvl w:val="5"/>
          <w:numId w:val="74"/>
        </w:numPr>
        <w:tabs>
          <w:tab w:val="clear" w:pos="2552"/>
          <w:tab w:val="num" w:pos="3261"/>
        </w:tabs>
        <w:ind w:left="3261"/>
        <w:rPr>
          <w:b w:val="0"/>
          <w:bCs/>
          <w:color w:val="auto"/>
          <w:shd w:val="clear" w:color="auto" w:fill="auto"/>
        </w:rPr>
      </w:pPr>
      <w:r w:rsidRPr="00711287">
        <w:rPr>
          <w:b w:val="0"/>
          <w:bCs/>
        </w:rPr>
        <w:t>if a single price for buying and selling the exchange-traded derivative contract is quoted, at that price; or</w:t>
      </w:r>
    </w:p>
    <w:p w:rsidR="004B2147" w:rsidRPr="00711287" w:rsidP="006C000D" w14:paraId="0FABAAF6" w14:textId="77777777">
      <w:pPr>
        <w:pStyle w:val="Heading5"/>
        <w:numPr>
          <w:ilvl w:val="5"/>
          <w:numId w:val="74"/>
        </w:numPr>
        <w:tabs>
          <w:tab w:val="clear" w:pos="2552"/>
          <w:tab w:val="num" w:pos="3261"/>
        </w:tabs>
        <w:ind w:left="3261"/>
        <w:rPr>
          <w:b w:val="0"/>
          <w:bCs/>
          <w:color w:val="auto"/>
          <w:shd w:val="clear" w:color="auto" w:fill="auto"/>
        </w:rPr>
      </w:pPr>
      <w:r w:rsidRPr="00711287">
        <w:rPr>
          <w:b w:val="0"/>
          <w:bCs/>
        </w:rPr>
        <w:t xml:space="preserve">if separate buying and selling prices are quoted, at the average of the two prices; </w:t>
      </w:r>
    </w:p>
    <w:p w:rsidR="004B2147" w:rsidP="00711287" w14:paraId="47CA6677" w14:textId="7F7285E1">
      <w:pPr>
        <w:pStyle w:val="ssPara3"/>
        <w:tabs>
          <w:tab w:val="left" w:pos="2694"/>
        </w:tabs>
        <w:ind w:left="2694" w:hanging="709"/>
        <w:rPr>
          <w:color w:val="auto"/>
          <w:shd w:val="clear" w:color="auto" w:fill="auto"/>
        </w:rPr>
      </w:pPr>
      <w:r>
        <w:t>[(3)/(4)]</w:t>
      </w:r>
      <w:r>
        <w:tab/>
        <w:t>over-the-counter derivative contracts shall be valued in accordance with the method of valuation as shall have been agreed between the ACD and the Depositary</w:t>
      </w:r>
      <w:r>
        <w:rPr>
          <w:color w:val="000000"/>
        </w:rPr>
        <w:t>;</w:t>
      </w:r>
      <w:r>
        <w:rPr>
          <w:rStyle w:val="EndnoteReference"/>
        </w:rPr>
        <w:endnoteReference w:id="54"/>
      </w:r>
    </w:p>
    <w:p w:rsidR="004B2147" w:rsidP="00711287" w14:paraId="3AC9BC49" w14:textId="43F2E5EA">
      <w:pPr>
        <w:pStyle w:val="ssPara3"/>
        <w:tabs>
          <w:tab w:val="left" w:pos="2694"/>
        </w:tabs>
        <w:ind w:left="2694" w:hanging="709"/>
        <w:rPr>
          <w:color w:val="auto"/>
          <w:shd w:val="clear" w:color="auto" w:fill="auto"/>
        </w:rPr>
      </w:pPr>
      <w:bookmarkStart w:id="241" w:name="_DV_M220"/>
      <w:bookmarkEnd w:id="241"/>
      <w:r>
        <w:t>[(4)/(5)]</w:t>
      </w:r>
      <w:r>
        <w:tab/>
        <w:t>any other investment:</w:t>
      </w:r>
    </w:p>
    <w:p w:rsidR="004B2147" w:rsidRPr="00711287" w:rsidP="006C000D" w14:paraId="6848FE9B" w14:textId="77777777">
      <w:pPr>
        <w:pStyle w:val="Heading5"/>
        <w:numPr>
          <w:ilvl w:val="5"/>
          <w:numId w:val="75"/>
        </w:numPr>
        <w:tabs>
          <w:tab w:val="clear" w:pos="2552"/>
          <w:tab w:val="num" w:pos="3261"/>
        </w:tabs>
        <w:ind w:left="3261"/>
        <w:rPr>
          <w:b w:val="0"/>
          <w:bCs/>
          <w:color w:val="auto"/>
          <w:shd w:val="clear" w:color="auto" w:fill="auto"/>
        </w:rPr>
      </w:pPr>
      <w:bookmarkStart w:id="242" w:name="_DV_M221"/>
      <w:bookmarkEnd w:id="242"/>
      <w:r w:rsidRPr="00711287">
        <w:rPr>
          <w:b w:val="0"/>
          <w:bCs/>
        </w:rPr>
        <w:t>the best available market dealing offer price on the most appropriate market in a standard size (plus any dealing costs, (as defined below)); or</w:t>
      </w:r>
    </w:p>
    <w:p w:rsidR="004B2147" w:rsidRPr="00711287" w:rsidP="006C000D" w14:paraId="535C6217" w14:textId="0B527436">
      <w:pPr>
        <w:pStyle w:val="Heading5"/>
        <w:numPr>
          <w:ilvl w:val="5"/>
          <w:numId w:val="75"/>
        </w:numPr>
        <w:tabs>
          <w:tab w:val="clear" w:pos="2552"/>
          <w:tab w:val="num" w:pos="3261"/>
        </w:tabs>
        <w:ind w:left="3261"/>
        <w:rPr>
          <w:b w:val="0"/>
          <w:bCs/>
          <w:color w:val="auto"/>
          <w:shd w:val="clear" w:color="auto" w:fill="auto"/>
        </w:rPr>
      </w:pPr>
      <w:bookmarkStart w:id="243" w:name="_DV_M222"/>
      <w:bookmarkEnd w:id="243"/>
      <w:r w:rsidRPr="00711287">
        <w:rPr>
          <w:b w:val="0"/>
          <w:bCs/>
        </w:rPr>
        <w:t>if, in the opinion of the ACD, the price obtained is unreliable or no recent traded price is available or if the most recent price available does not reflect the ACD’s best estimate of the value, at a value which, in the opinion of the ACD, is fair and reasonable; and</w:t>
      </w:r>
    </w:p>
    <w:p w:rsidR="004B2147" w:rsidP="00711287" w14:paraId="1A2BE7C5" w14:textId="4E3094FE">
      <w:pPr>
        <w:pStyle w:val="ssPara3"/>
        <w:tabs>
          <w:tab w:val="left" w:pos="2694"/>
        </w:tabs>
        <w:ind w:left="2694" w:hanging="709"/>
        <w:rPr>
          <w:color w:val="auto"/>
          <w:shd w:val="clear" w:color="auto" w:fill="auto"/>
        </w:rPr>
      </w:pPr>
      <w:bookmarkStart w:id="244" w:name="_DV_M223"/>
      <w:bookmarkEnd w:id="244"/>
      <w:r>
        <w:t>[(5)/(6)]</w:t>
      </w:r>
      <w:r>
        <w:tab/>
        <w:t>Scheme Property other than that described in [(</w:t>
      </w:r>
      <w:bookmarkStart w:id="245" w:name="_DV_M224"/>
      <w:bookmarkEnd w:id="245"/>
      <w:r>
        <w:t>1), (2), (3) and (4)]/[(1), (2), (3), (4) and (5)] above: at a value which, in the opinion of the ACD, is fair and reasonable (plus any dealing costs (as defined below)).</w:t>
      </w:r>
    </w:p>
    <w:p w:rsidR="004B2147" w:rsidP="00711287" w14:paraId="21673B1F" w14:textId="74780FDD">
      <w:pPr>
        <w:pStyle w:val="ssNoHeading2"/>
        <w:tabs>
          <w:tab w:val="clear" w:pos="709"/>
          <w:tab w:val="num" w:pos="1418"/>
        </w:tabs>
        <w:ind w:left="1418"/>
        <w:rPr>
          <w:color w:val="auto"/>
          <w:shd w:val="clear" w:color="auto" w:fill="auto"/>
        </w:rPr>
      </w:pPr>
      <w:bookmarkStart w:id="246" w:name="_DV_M225"/>
      <w:bookmarkEnd w:id="246"/>
      <w:r>
        <w:t xml:space="preserve">The valuation of </w:t>
      </w:r>
      <w:r w:rsidR="00BC4B44">
        <w:t>Scheme P</w:t>
      </w:r>
      <w:r>
        <w:t>roperty for that part of the valuation which is on a cancellation basis is as follows:</w:t>
      </w:r>
    </w:p>
    <w:p w:rsidR="004B2147" w:rsidP="00711287" w14:paraId="1053E3D7" w14:textId="5BBB629F">
      <w:pPr>
        <w:pStyle w:val="ssNoHeading3"/>
        <w:tabs>
          <w:tab w:val="clear" w:pos="1418"/>
          <w:tab w:val="num" w:pos="2127"/>
        </w:tabs>
        <w:ind w:left="2127"/>
        <w:rPr>
          <w:color w:val="auto"/>
          <w:shd w:val="clear" w:color="auto" w:fill="auto"/>
        </w:rPr>
      </w:pPr>
      <w:bookmarkStart w:id="247" w:name="_DV_M226"/>
      <w:bookmarkEnd w:id="247"/>
      <w:r>
        <w:t xml:space="preserve">Scheme Property which is not cash (or other assets dealt with in paragraphs </w:t>
      </w:r>
      <w:r>
        <w:fldChar w:fldCharType="begin"/>
      </w:r>
      <w:r>
        <w:instrText xml:space="preserve"> REF _Ref92232486 \r \h </w:instrText>
      </w:r>
      <w:r>
        <w:fldChar w:fldCharType="separate"/>
      </w:r>
      <w:r w:rsidR="0011178A">
        <w:rPr>
          <w:cs/>
        </w:rPr>
        <w:t>‎</w:t>
      </w:r>
      <w:r w:rsidR="0011178A">
        <w:t>3</w:t>
      </w:r>
      <w:r>
        <w:fldChar w:fldCharType="end"/>
      </w:r>
      <w:r>
        <w:t xml:space="preserve"> and </w:t>
      </w:r>
      <w:r>
        <w:fldChar w:fldCharType="begin"/>
      </w:r>
      <w:r>
        <w:instrText xml:space="preserve"> REF _Ref92232490 \r \h </w:instrText>
      </w:r>
      <w:r>
        <w:fldChar w:fldCharType="separate"/>
      </w:r>
      <w:r w:rsidR="0011178A">
        <w:rPr>
          <w:cs/>
        </w:rPr>
        <w:t>‎</w:t>
      </w:r>
      <w:r w:rsidR="0011178A">
        <w:t>4</w:t>
      </w:r>
      <w:r>
        <w:fldChar w:fldCharType="end"/>
      </w:r>
      <w:r>
        <w:t xml:space="preserve"> below) shall be valued as follows and the prices used shall (subject as follows) be the most recent prices which it is practicable to obtain:</w:t>
      </w:r>
    </w:p>
    <w:p w:rsidR="004B2147" w:rsidP="00711287" w14:paraId="7D585ED5" w14:textId="77777777">
      <w:pPr>
        <w:pStyle w:val="ssNoHeading4"/>
        <w:tabs>
          <w:tab w:val="clear" w:pos="1985"/>
          <w:tab w:val="num" w:pos="2694"/>
        </w:tabs>
        <w:ind w:left="2694"/>
        <w:rPr>
          <w:color w:val="auto"/>
          <w:shd w:val="clear" w:color="auto" w:fill="auto"/>
        </w:rPr>
      </w:pPr>
      <w:bookmarkStart w:id="248" w:name="_DV_M227"/>
      <w:bookmarkEnd w:id="248"/>
      <w:r>
        <w:t>units or shares in a collective investment scheme:</w:t>
      </w:r>
      <w:bookmarkStart w:id="249" w:name="_Ref148429061"/>
      <w:bookmarkEnd w:id="249"/>
    </w:p>
    <w:p w:rsidR="004B2147" w:rsidRPr="00711287" w:rsidP="006C000D" w14:paraId="423B0644" w14:textId="45EC7F2A">
      <w:pPr>
        <w:pStyle w:val="Heading5"/>
        <w:numPr>
          <w:ilvl w:val="5"/>
          <w:numId w:val="75"/>
        </w:numPr>
        <w:tabs>
          <w:tab w:val="clear" w:pos="2552"/>
          <w:tab w:val="num" w:pos="3261"/>
        </w:tabs>
        <w:ind w:left="3261"/>
        <w:rPr>
          <w:b w:val="0"/>
          <w:bCs/>
          <w:color w:val="auto"/>
          <w:shd w:val="clear" w:color="auto" w:fill="auto"/>
        </w:rPr>
      </w:pPr>
      <w:bookmarkStart w:id="250" w:name="_DV_M229"/>
      <w:bookmarkEnd w:id="250"/>
      <w:r w:rsidRPr="00711287">
        <w:rPr>
          <w:b w:val="0"/>
          <w:bCs/>
        </w:rPr>
        <w:t xml:space="preserve">if a single price for buying and selling units or shares is quoted, at that price (less any dealing costs (as defined below), any redemption charge payable by the </w:t>
      </w:r>
      <w:r w:rsidR="003B7A9C">
        <w:rPr>
          <w:b w:val="0"/>
          <w:bCs/>
        </w:rPr>
        <w:t>Company</w:t>
      </w:r>
      <w:r w:rsidRPr="00711287" w:rsidR="003B7A9C">
        <w:rPr>
          <w:b w:val="0"/>
          <w:bCs/>
        </w:rPr>
        <w:t xml:space="preserve"> </w:t>
      </w:r>
      <w:r w:rsidRPr="00711287">
        <w:rPr>
          <w:b w:val="0"/>
          <w:bCs/>
        </w:rPr>
        <w:t xml:space="preserve">on the sale of the units or shares, (taking account of any expected discount) and any dilution levy or </w:t>
      </w:r>
      <w:r w:rsidR="006E1B42">
        <w:rPr>
          <w:b w:val="0"/>
          <w:bCs/>
        </w:rPr>
        <w:t xml:space="preserve">other </w:t>
      </w:r>
      <w:r w:rsidRPr="00711287">
        <w:rPr>
          <w:b w:val="0"/>
          <w:bCs/>
        </w:rPr>
        <w:t xml:space="preserve">provision which would be deducted in the event of a sale of the units or shares (except that, where the ACD, or an associate of the ACD, is also the manager or authorised corporate director of the collective investment scheme whose units or shares are held by the </w:t>
      </w:r>
      <w:r w:rsidR="003B7A9C">
        <w:rPr>
          <w:b w:val="0"/>
          <w:bCs/>
        </w:rPr>
        <w:t>Company</w:t>
      </w:r>
      <w:r w:rsidRPr="00711287">
        <w:rPr>
          <w:b w:val="0"/>
          <w:bCs/>
        </w:rPr>
        <w:t xml:space="preserve">, </w:t>
      </w:r>
      <w:bookmarkStart w:id="251" w:name="_DV_C24"/>
      <w:r w:rsidRPr="00711287">
        <w:rPr>
          <w:b w:val="0"/>
          <w:bCs/>
        </w:rPr>
        <w:t>any</w:t>
      </w:r>
      <w:bookmarkStart w:id="252" w:name="_DV_M230"/>
      <w:bookmarkEnd w:id="251"/>
      <w:bookmarkEnd w:id="252"/>
      <w:r w:rsidRPr="00711287">
        <w:rPr>
          <w:b w:val="0"/>
          <w:bCs/>
        </w:rPr>
        <w:t xml:space="preserve"> redemption charge payable in the event of a sale of those units or shares must not be deducted)); or</w:t>
      </w:r>
    </w:p>
    <w:p w:rsidR="004B2147" w:rsidRPr="00711287" w:rsidP="006C000D" w14:paraId="6D6C4654" w14:textId="392FFAA6">
      <w:pPr>
        <w:pStyle w:val="Heading5"/>
        <w:numPr>
          <w:ilvl w:val="5"/>
          <w:numId w:val="75"/>
        </w:numPr>
        <w:tabs>
          <w:tab w:val="clear" w:pos="2552"/>
          <w:tab w:val="num" w:pos="3261"/>
        </w:tabs>
        <w:ind w:left="3261"/>
        <w:rPr>
          <w:b w:val="0"/>
          <w:bCs/>
          <w:color w:val="auto"/>
          <w:shd w:val="clear" w:color="auto" w:fill="auto"/>
        </w:rPr>
      </w:pPr>
      <w:bookmarkStart w:id="253" w:name="_DV_M231"/>
      <w:bookmarkEnd w:id="253"/>
      <w:r w:rsidRPr="00711287">
        <w:rPr>
          <w:b w:val="0"/>
          <w:bCs/>
        </w:rPr>
        <w:t xml:space="preserve">if separate buying (offer) and selling (bid) prices are quoted, at the selling price </w:t>
      </w:r>
      <w:bookmarkStart w:id="254" w:name="_DV_M233"/>
      <w:bookmarkEnd w:id="254"/>
      <w:r w:rsidRPr="00711287">
        <w:rPr>
          <w:b w:val="0"/>
          <w:bCs/>
        </w:rPr>
        <w:t xml:space="preserve">less any dealing costs (as defined below) and any redemption charge payable on the sale of the units or shares </w:t>
      </w:r>
      <w:bookmarkStart w:id="255" w:name="_DV_C28"/>
      <w:r w:rsidRPr="00711287">
        <w:rPr>
          <w:b w:val="0"/>
          <w:bCs/>
        </w:rPr>
        <w:t>taking account of any expected discount</w:t>
      </w:r>
      <w:bookmarkEnd w:id="255"/>
      <w:r w:rsidRPr="00711287">
        <w:rPr>
          <w:b w:val="0"/>
          <w:bCs/>
        </w:rPr>
        <w:t xml:space="preserve"> </w:t>
      </w:r>
      <w:bookmarkStart w:id="256" w:name="_DV_M234"/>
      <w:bookmarkEnd w:id="256"/>
      <w:r w:rsidRPr="00711287">
        <w:rPr>
          <w:b w:val="0"/>
          <w:bCs/>
        </w:rPr>
        <w:t xml:space="preserve">(except that, where the ACD, or an associate of the ACD, is also the manager or authorised corporate director of the collective investment scheme whose units or shares are held by the </w:t>
      </w:r>
      <w:r w:rsidR="003B7A9C">
        <w:rPr>
          <w:b w:val="0"/>
          <w:bCs/>
        </w:rPr>
        <w:t>Company</w:t>
      </w:r>
      <w:r w:rsidRPr="00711287">
        <w:rPr>
          <w:b w:val="0"/>
          <w:bCs/>
        </w:rPr>
        <w:t xml:space="preserve">, </w:t>
      </w:r>
      <w:bookmarkStart w:id="257" w:name="_DV_M236"/>
      <w:bookmarkEnd w:id="257"/>
      <w:r w:rsidRPr="00711287">
        <w:rPr>
          <w:b w:val="0"/>
          <w:bCs/>
        </w:rPr>
        <w:t>the cancellation price shall be taken instead of the selling price;</w:t>
      </w:r>
      <w:r w:rsidR="000F6F38">
        <w:rPr>
          <w:b w:val="0"/>
          <w:bCs/>
        </w:rPr>
        <w:t xml:space="preserve"> </w:t>
      </w:r>
      <w:r w:rsidRPr="00711287">
        <w:rPr>
          <w:b w:val="0"/>
          <w:bCs/>
        </w:rPr>
        <w:t>or</w:t>
      </w:r>
    </w:p>
    <w:p w:rsidR="004B2147" w:rsidRPr="00711287" w:rsidP="006C000D" w14:paraId="6DD2E65F" w14:textId="7540F7D2">
      <w:pPr>
        <w:pStyle w:val="Heading5"/>
        <w:numPr>
          <w:ilvl w:val="5"/>
          <w:numId w:val="75"/>
        </w:numPr>
        <w:tabs>
          <w:tab w:val="clear" w:pos="2552"/>
          <w:tab w:val="num" w:pos="3261"/>
        </w:tabs>
        <w:ind w:left="3261"/>
        <w:rPr>
          <w:b w:val="0"/>
          <w:bCs/>
          <w:color w:val="auto"/>
          <w:shd w:val="clear" w:color="auto" w:fill="auto"/>
        </w:rPr>
      </w:pPr>
      <w:bookmarkStart w:id="258" w:name="_DV_M237"/>
      <w:bookmarkEnd w:id="258"/>
      <w:r w:rsidRPr="00711287">
        <w:rPr>
          <w:b w:val="0"/>
          <w:bCs/>
        </w:rPr>
        <w:t xml:space="preserve">if, in the opinion of the ACD, the price obtained is unreliable or no recent traded price is available or if no recent price exists or if the most recent price available does not reflect the ACD’s best estimate of the value, at a value which, in the opinion of the ACD, is fair and reasonable; </w:t>
      </w:r>
    </w:p>
    <w:p w:rsidR="004B2147" w:rsidP="00711287" w14:paraId="4EDCAD0B" w14:textId="110F8B4B">
      <w:pPr>
        <w:pStyle w:val="ssNoHeading4"/>
        <w:tabs>
          <w:tab w:val="clear" w:pos="1985"/>
          <w:tab w:val="num" w:pos="2694"/>
        </w:tabs>
        <w:ind w:left="2694"/>
        <w:rPr>
          <w:color w:val="auto"/>
          <w:shd w:val="clear" w:color="auto" w:fill="auto"/>
        </w:rPr>
      </w:pPr>
      <w:bookmarkStart w:id="259" w:name="_DV_M238"/>
      <w:bookmarkEnd w:id="259"/>
      <w:r>
        <w:t>[immovable property:</w:t>
      </w:r>
    </w:p>
    <w:p w:rsidR="004B2147" w:rsidRPr="00711287" w:rsidP="006C000D" w14:paraId="02E75372" w14:textId="3A1819C7">
      <w:pPr>
        <w:pStyle w:val="Heading5"/>
        <w:numPr>
          <w:ilvl w:val="5"/>
          <w:numId w:val="75"/>
        </w:numPr>
        <w:tabs>
          <w:tab w:val="clear" w:pos="2552"/>
          <w:tab w:val="num" w:pos="3261"/>
        </w:tabs>
        <w:ind w:left="3261"/>
        <w:rPr>
          <w:b w:val="0"/>
          <w:bCs/>
          <w:color w:val="auto"/>
          <w:shd w:val="clear" w:color="auto" w:fill="auto"/>
        </w:rPr>
      </w:pPr>
      <w:bookmarkStart w:id="260" w:name="_DV_M239"/>
      <w:bookmarkStart w:id="261" w:name="_DV_M240"/>
      <w:bookmarkEnd w:id="260"/>
      <w:bookmarkEnd w:id="261"/>
      <w:r w:rsidRPr="00711287">
        <w:rPr>
          <w:b w:val="0"/>
          <w:bCs/>
        </w:rPr>
        <w:t xml:space="preserve">by a standing independent valuer (as defined in the glossary to the FCA Rules) [appointed by the ACD with the approval of the Depositary], in accordance with UKVPS 3 and 2.3 of UKVPGA 2 of the RICS Valuation – Global Standards 2017 national supplement 2018 (the RICS Red Book) as updated and amended from time to time or, in the case of overseas immovables (if any) on an appropriate basis, but subject to any </w:t>
      </w:r>
      <w:r>
        <w:rPr>
          <w:b w:val="0"/>
          <w:bCs/>
        </w:rPr>
        <w:t xml:space="preserve">other </w:t>
      </w:r>
      <w:r w:rsidRPr="00711287">
        <w:rPr>
          <w:b w:val="0"/>
          <w:bCs/>
        </w:rPr>
        <w:t>provision</w:t>
      </w:r>
      <w:r>
        <w:rPr>
          <w:b w:val="0"/>
          <w:bCs/>
        </w:rPr>
        <w:t xml:space="preserve"> of</w:t>
      </w:r>
      <w:r w:rsidRPr="00711287">
        <w:rPr>
          <w:b w:val="0"/>
          <w:bCs/>
        </w:rPr>
        <w:t xml:space="preserve"> this Instrument;</w:t>
      </w:r>
    </w:p>
    <w:p w:rsidR="004B2147" w:rsidRPr="00711287" w:rsidP="006C000D" w14:paraId="7F78E4B9" w14:textId="77777777">
      <w:pPr>
        <w:pStyle w:val="Heading5"/>
        <w:numPr>
          <w:ilvl w:val="5"/>
          <w:numId w:val="75"/>
        </w:numPr>
        <w:tabs>
          <w:tab w:val="clear" w:pos="2552"/>
          <w:tab w:val="num" w:pos="3261"/>
        </w:tabs>
        <w:ind w:left="3261"/>
        <w:rPr>
          <w:b w:val="0"/>
          <w:bCs/>
          <w:color w:val="auto"/>
          <w:shd w:val="clear" w:color="auto" w:fill="auto"/>
        </w:rPr>
      </w:pPr>
      <w:bookmarkStart w:id="262" w:name="_DV_M241"/>
      <w:bookmarkEnd w:id="262"/>
      <w:r w:rsidRPr="00711287">
        <w:rPr>
          <w:b w:val="0"/>
          <w:bCs/>
        </w:rPr>
        <w:t>on the basis of a full valuation with physical inspection (including, where the immovable is or includes a building, internal inspection), at least once a year; and</w:t>
      </w:r>
    </w:p>
    <w:p w:rsidR="004B2147" w:rsidRPr="00711287" w:rsidP="006C000D" w14:paraId="5BEB82C5" w14:textId="77777777">
      <w:pPr>
        <w:pStyle w:val="Heading5"/>
        <w:numPr>
          <w:ilvl w:val="5"/>
          <w:numId w:val="75"/>
        </w:numPr>
        <w:tabs>
          <w:tab w:val="clear" w:pos="2552"/>
          <w:tab w:val="num" w:pos="3261"/>
        </w:tabs>
        <w:ind w:left="3261"/>
        <w:rPr>
          <w:b w:val="0"/>
          <w:bCs/>
          <w:color w:val="auto"/>
          <w:shd w:val="clear" w:color="auto" w:fill="auto"/>
        </w:rPr>
      </w:pPr>
      <w:bookmarkStart w:id="263" w:name="_DV_M242"/>
      <w:bookmarkEnd w:id="263"/>
      <w:r w:rsidRPr="00711287">
        <w:rPr>
          <w:b w:val="0"/>
          <w:bCs/>
        </w:rPr>
        <w:t>on the basis of the last full valuation, at least once a month;]</w:t>
      </w:r>
      <w:r>
        <w:rPr>
          <w:rStyle w:val="EndnoteReference"/>
          <w:b w:val="0"/>
          <w:bCs/>
        </w:rPr>
        <w:endnoteReference w:id="55"/>
      </w:r>
    </w:p>
    <w:p w:rsidR="004B2147" w:rsidP="00711287" w14:paraId="7504B02E" w14:textId="72ED34CD">
      <w:pPr>
        <w:pStyle w:val="ssPara3"/>
        <w:tabs>
          <w:tab w:val="left" w:pos="2694"/>
        </w:tabs>
        <w:ind w:left="2694" w:hanging="709"/>
        <w:rPr>
          <w:color w:val="auto"/>
          <w:shd w:val="clear" w:color="auto" w:fill="auto"/>
        </w:rPr>
      </w:pPr>
      <w:bookmarkStart w:id="264" w:name="_DV_M243"/>
      <w:bookmarkStart w:id="265" w:name="_Ref148429092"/>
      <w:bookmarkEnd w:id="264"/>
      <w:r>
        <w:rPr>
          <w:color w:val="000000"/>
        </w:rPr>
        <w:t>[(2)/(3)]</w:t>
      </w:r>
      <w:r>
        <w:rPr>
          <w:color w:val="000000"/>
        </w:rPr>
        <w:tab/>
      </w:r>
      <w:r>
        <w:t>exchange-traded derivative contracts:</w:t>
      </w:r>
    </w:p>
    <w:p w:rsidR="004B2147" w:rsidRPr="00711287" w:rsidP="006C000D" w14:paraId="4FE7D523" w14:textId="77777777">
      <w:pPr>
        <w:pStyle w:val="Heading5"/>
        <w:numPr>
          <w:ilvl w:val="5"/>
          <w:numId w:val="76"/>
        </w:numPr>
        <w:tabs>
          <w:tab w:val="clear" w:pos="2552"/>
          <w:tab w:val="num" w:pos="3261"/>
        </w:tabs>
        <w:ind w:left="3261"/>
        <w:rPr>
          <w:b w:val="0"/>
          <w:bCs/>
          <w:color w:val="auto"/>
          <w:shd w:val="clear" w:color="auto" w:fill="auto"/>
        </w:rPr>
      </w:pPr>
      <w:r w:rsidRPr="00711287">
        <w:rPr>
          <w:b w:val="0"/>
          <w:bCs/>
        </w:rPr>
        <w:t>if a single price for buying and selling the exchange-traded derivative contract is quoted, at that price; or</w:t>
      </w:r>
    </w:p>
    <w:p w:rsidR="004B2147" w:rsidRPr="00711287" w:rsidP="006C000D" w14:paraId="0BE88672" w14:textId="77777777">
      <w:pPr>
        <w:pStyle w:val="Heading5"/>
        <w:numPr>
          <w:ilvl w:val="5"/>
          <w:numId w:val="76"/>
        </w:numPr>
        <w:tabs>
          <w:tab w:val="clear" w:pos="2552"/>
          <w:tab w:val="num" w:pos="3261"/>
        </w:tabs>
        <w:ind w:left="3261"/>
        <w:rPr>
          <w:b w:val="0"/>
          <w:bCs/>
          <w:color w:val="auto"/>
          <w:shd w:val="clear" w:color="auto" w:fill="auto"/>
        </w:rPr>
      </w:pPr>
      <w:r w:rsidRPr="00711287">
        <w:rPr>
          <w:b w:val="0"/>
          <w:bCs/>
        </w:rPr>
        <w:t xml:space="preserve">if separate buying and selling prices are quoted, at the average of the two prices; </w:t>
      </w:r>
    </w:p>
    <w:p w:rsidR="004B2147" w:rsidP="00711287" w14:paraId="727A7803" w14:textId="180832F2">
      <w:pPr>
        <w:pStyle w:val="ssPara3"/>
        <w:tabs>
          <w:tab w:val="left" w:pos="2694"/>
        </w:tabs>
        <w:ind w:left="2694" w:hanging="709"/>
        <w:rPr>
          <w:color w:val="auto"/>
          <w:shd w:val="clear" w:color="auto" w:fill="auto"/>
        </w:rPr>
      </w:pPr>
      <w:r>
        <w:t>[(3)/(4)]</w:t>
      </w:r>
      <w:r>
        <w:tab/>
        <w:t>over-the-counter derivative contracts shall be valued in accordance with the method of valuation as shall have been agreed between the ACD and the Depositary</w:t>
      </w:r>
      <w:r>
        <w:rPr>
          <w:color w:val="000000"/>
        </w:rPr>
        <w:t>;</w:t>
      </w:r>
      <w:r>
        <w:rPr>
          <w:rStyle w:val="EndnoteReference"/>
        </w:rPr>
        <w:endnoteReference w:id="56"/>
      </w:r>
    </w:p>
    <w:p w:rsidR="004B2147" w:rsidP="00711287" w14:paraId="5F5AF88F" w14:textId="7BC5F587">
      <w:pPr>
        <w:pStyle w:val="ssPara3"/>
        <w:tabs>
          <w:tab w:val="left" w:pos="2694"/>
        </w:tabs>
        <w:ind w:left="2694" w:hanging="709"/>
        <w:rPr>
          <w:color w:val="auto"/>
          <w:shd w:val="clear" w:color="auto" w:fill="auto"/>
        </w:rPr>
      </w:pPr>
      <w:r>
        <w:t>[(4)/(5)]</w:t>
      </w:r>
      <w:r>
        <w:tab/>
        <w:t>any other investment:</w:t>
      </w:r>
      <w:bookmarkEnd w:id="265"/>
    </w:p>
    <w:p w:rsidR="004B2147" w:rsidRPr="00711287" w:rsidP="006C000D" w14:paraId="3FFE6E53" w14:textId="77777777">
      <w:pPr>
        <w:pStyle w:val="Heading5"/>
        <w:numPr>
          <w:ilvl w:val="5"/>
          <w:numId w:val="77"/>
        </w:numPr>
        <w:tabs>
          <w:tab w:val="clear" w:pos="2552"/>
          <w:tab w:val="num" w:pos="3261"/>
        </w:tabs>
        <w:ind w:left="3261"/>
        <w:rPr>
          <w:b w:val="0"/>
          <w:bCs/>
          <w:color w:val="auto"/>
          <w:shd w:val="clear" w:color="auto" w:fill="auto"/>
        </w:rPr>
      </w:pPr>
      <w:bookmarkStart w:id="266" w:name="_DV_M244"/>
      <w:bookmarkEnd w:id="266"/>
      <w:r w:rsidRPr="00711287">
        <w:rPr>
          <w:b w:val="0"/>
          <w:bCs/>
        </w:rPr>
        <w:t>the best available market dealing bid price on the most appropriate market in a standard size (less any dealing costs (as defined below)</w:t>
      </w:r>
      <w:bookmarkStart w:id="267" w:name="_DV_C32"/>
      <w:r w:rsidRPr="00711287">
        <w:rPr>
          <w:b w:val="0"/>
          <w:bCs/>
        </w:rPr>
        <w:t>)</w:t>
      </w:r>
      <w:bookmarkStart w:id="268" w:name="_DV_M245"/>
      <w:bookmarkEnd w:id="267"/>
      <w:bookmarkEnd w:id="268"/>
      <w:r w:rsidRPr="00711287">
        <w:rPr>
          <w:b w:val="0"/>
          <w:bCs/>
        </w:rPr>
        <w:t>; or</w:t>
      </w:r>
    </w:p>
    <w:p w:rsidR="004B2147" w:rsidRPr="00711287" w:rsidP="006C000D" w14:paraId="1EDB40F8" w14:textId="60482F17">
      <w:pPr>
        <w:pStyle w:val="Heading5"/>
        <w:numPr>
          <w:ilvl w:val="5"/>
          <w:numId w:val="77"/>
        </w:numPr>
        <w:tabs>
          <w:tab w:val="clear" w:pos="2552"/>
          <w:tab w:val="num" w:pos="3261"/>
        </w:tabs>
        <w:ind w:left="3261"/>
        <w:rPr>
          <w:b w:val="0"/>
          <w:bCs/>
          <w:color w:val="auto"/>
          <w:shd w:val="clear" w:color="auto" w:fill="auto"/>
        </w:rPr>
      </w:pPr>
      <w:bookmarkStart w:id="269" w:name="_DV_M246"/>
      <w:bookmarkEnd w:id="269"/>
      <w:r w:rsidRPr="00711287">
        <w:rPr>
          <w:b w:val="0"/>
          <w:bCs/>
        </w:rPr>
        <w:t>if, in the opinion of the ACD, the price obtained is unreliable or no recent traded price is available or if the most recent price available does not reflect the ACD’s best estimate of the value, at a value which, in the opinion of the ACD, is fair and reasonable; and</w:t>
      </w:r>
    </w:p>
    <w:p w:rsidR="004B2147" w:rsidP="00711287" w14:paraId="5C582343" w14:textId="151F7A5D">
      <w:pPr>
        <w:pStyle w:val="ssPara3"/>
        <w:tabs>
          <w:tab w:val="left" w:pos="2694"/>
        </w:tabs>
        <w:ind w:left="2694" w:hanging="709"/>
        <w:rPr>
          <w:color w:val="auto"/>
          <w:shd w:val="clear" w:color="auto" w:fill="auto"/>
        </w:rPr>
      </w:pPr>
      <w:bookmarkStart w:id="270" w:name="_DV_M247"/>
      <w:bookmarkEnd w:id="270"/>
      <w:r>
        <w:t>[(5)/(6)]</w:t>
      </w:r>
      <w:r>
        <w:tab/>
        <w:t>Scheme Property other than that described in [(</w:t>
      </w:r>
      <w:bookmarkStart w:id="271" w:name="_DV_M248"/>
      <w:bookmarkEnd w:id="271"/>
      <w:r>
        <w:t>1), (2), (3) and (4)]/[(1), (2), (3), (4) and (e)] above: at a value which, in the opinion of the ACD, is fair and reasonable (less any dealing costs (as defined below)).</w:t>
      </w:r>
    </w:p>
    <w:p w:rsidR="004B2147" w:rsidP="000141F7" w14:paraId="3C4DB1E2" w14:textId="77777777">
      <w:pPr>
        <w:pStyle w:val="ssNoHeading1"/>
        <w:rPr>
          <w:color w:val="auto"/>
          <w:shd w:val="clear" w:color="auto" w:fill="auto"/>
        </w:rPr>
      </w:pPr>
      <w:bookmarkStart w:id="272" w:name="_DV_M249"/>
      <w:bookmarkStart w:id="273" w:name="_Ref92232486"/>
      <w:bookmarkEnd w:id="272"/>
      <w:r>
        <w:t>Cash and amounts held in current, deposit and margin accounts and in other time related deposits shall be valued at their nominal values.</w:t>
      </w:r>
      <w:bookmarkStart w:id="274" w:name="_DV_M250"/>
      <w:bookmarkStart w:id="275" w:name="_DV_M251"/>
      <w:bookmarkStart w:id="276" w:name="_DV_M252"/>
      <w:bookmarkStart w:id="277" w:name="_DV_M253"/>
      <w:bookmarkStart w:id="278" w:name="_DV_M254"/>
      <w:bookmarkStart w:id="279" w:name="_DV_M255"/>
      <w:bookmarkStart w:id="280" w:name="_DV_M256"/>
      <w:bookmarkStart w:id="281" w:name="_DV_M257"/>
      <w:bookmarkStart w:id="282" w:name="_DV_M258"/>
      <w:bookmarkStart w:id="283" w:name="_DV_M259"/>
      <w:bookmarkStart w:id="284" w:name="_DV_M260"/>
      <w:bookmarkStart w:id="285" w:name="_DV_M261"/>
      <w:bookmarkStart w:id="286" w:name="_DV_M262"/>
      <w:bookmarkStart w:id="287" w:name="_DV_M263"/>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4B2147" w:rsidP="000141F7" w14:paraId="0BADFE33" w14:textId="6AD5557C">
      <w:pPr>
        <w:pStyle w:val="ssNoHeading1"/>
        <w:rPr>
          <w:color w:val="auto"/>
          <w:shd w:val="clear" w:color="auto" w:fill="auto"/>
        </w:rPr>
      </w:pPr>
      <w:bookmarkStart w:id="288" w:name="_DV_M264"/>
      <w:bookmarkStart w:id="289" w:name="_Ref92232490"/>
      <w:bookmarkEnd w:id="288"/>
      <w:r>
        <w:t xml:space="preserve">In determining the value of the </w:t>
      </w:r>
      <w:r w:rsidR="00BC4B44">
        <w:t>Scheme Property</w:t>
      </w:r>
      <w:r>
        <w:t xml:space="preserve">, all instructions given to issue or cancel units shall be assumed (unless the contrary is shown) to have been carried out and any payment made or received and any consequential action required by the Regulations or </w:t>
      </w:r>
      <w:r w:rsidR="003B7A9C">
        <w:t>this Instrument</w:t>
      </w:r>
      <w:r>
        <w:t xml:space="preserve"> shall be assumed (unless the contrary has been shown) to have been taken.</w:t>
      </w:r>
      <w:bookmarkEnd w:id="289"/>
    </w:p>
    <w:p w:rsidR="004B2147" w:rsidP="000141F7" w14:paraId="2CFDAEDD" w14:textId="33F1BDD9">
      <w:pPr>
        <w:pStyle w:val="ssNoHeading1"/>
        <w:rPr>
          <w:b/>
          <w:i/>
          <w:iCs/>
          <w:color w:val="auto"/>
          <w:shd w:val="clear" w:color="auto" w:fill="auto"/>
        </w:rPr>
      </w:pPr>
      <w:bookmarkStart w:id="290" w:name="_DV_M265"/>
      <w:bookmarkStart w:id="291" w:name="_Ref92231995"/>
      <w:bookmarkEnd w:id="290"/>
      <w:r>
        <w:t xml:space="preserve">Subject to paragraphs </w:t>
      </w:r>
      <w:r>
        <w:fldChar w:fldCharType="begin"/>
      </w:r>
      <w:r>
        <w:instrText xml:space="preserve"> REF _Ref92231977  h \n</w:instrText>
      </w:r>
      <w:r>
        <w:fldChar w:fldCharType="separate"/>
      </w:r>
      <w:r w:rsidR="0011178A">
        <w:rPr>
          <w:cs/>
        </w:rPr>
        <w:t>‎</w:t>
      </w:r>
      <w:r w:rsidR="0011178A">
        <w:t>6</w:t>
      </w:r>
      <w:r>
        <w:fldChar w:fldCharType="end"/>
      </w:r>
      <w:r>
        <w:t xml:space="preserve"> and </w:t>
      </w:r>
      <w:r>
        <w:fldChar w:fldCharType="begin"/>
      </w:r>
      <w:r>
        <w:instrText xml:space="preserve"> REF _Ref92231880  h \n</w:instrText>
      </w:r>
      <w:r>
        <w:fldChar w:fldCharType="separate"/>
      </w:r>
      <w:r w:rsidR="0011178A">
        <w:rPr>
          <w:cs/>
        </w:rPr>
        <w:t>‎</w:t>
      </w:r>
      <w:r w:rsidR="0011178A">
        <w:t>7</w:t>
      </w:r>
      <w:r>
        <w:fldChar w:fldCharType="end"/>
      </w:r>
      <w:r>
        <w:t xml:space="preserve"> below, agreements for the unconditional sale or purchase of property which are in existence but uncompleted shall be assumed to have been completed and all consequential action required to have been taken.</w:t>
      </w:r>
      <w:r w:rsidR="000F6F38">
        <w:t xml:space="preserve"> </w:t>
      </w:r>
      <w:r>
        <w:t>[Such unconditional agreements need not be taken into account if made shortly before the valuation takes place and, in the opinion of the ACD, their omission shall not materially affect the final net asset amount.]</w:t>
      </w:r>
      <w:r>
        <w:rPr>
          <w:rStyle w:val="EndnoteReference"/>
        </w:rPr>
        <w:endnoteReference w:id="57"/>
      </w:r>
      <w:bookmarkEnd w:id="291"/>
    </w:p>
    <w:p w:rsidR="004B2147" w:rsidP="000141F7" w14:paraId="1B2A20F0" w14:textId="7B989B65">
      <w:pPr>
        <w:pStyle w:val="ssNoHeading1"/>
        <w:rPr>
          <w:color w:val="auto"/>
          <w:shd w:val="clear" w:color="auto" w:fill="auto"/>
        </w:rPr>
      </w:pPr>
      <w:bookmarkStart w:id="292" w:name="_DV_M266"/>
      <w:bookmarkEnd w:id="292"/>
      <w:r>
        <w:t xml:space="preserve">Futures or contracts for differences which are not yet due to be performed and unexpired and unexercised written or purchased options shall not be included under paragraph </w:t>
      </w:r>
      <w:r>
        <w:fldChar w:fldCharType="begin"/>
      </w:r>
      <w:r>
        <w:instrText xml:space="preserve"> REF _Ref92231995  h \n</w:instrText>
      </w:r>
      <w:r>
        <w:fldChar w:fldCharType="separate"/>
      </w:r>
      <w:r w:rsidR="0011178A">
        <w:rPr>
          <w:cs/>
        </w:rPr>
        <w:t>‎</w:t>
      </w:r>
      <w:r w:rsidR="0011178A">
        <w:t>5</w:t>
      </w:r>
      <w:r>
        <w:fldChar w:fldCharType="end"/>
      </w:r>
      <w:r w:rsidR="00BC4B44">
        <w:t>.</w:t>
      </w:r>
    </w:p>
    <w:p w:rsidR="004B2147" w:rsidP="000141F7" w14:paraId="3A3E6A0F" w14:textId="79138E33">
      <w:pPr>
        <w:pStyle w:val="ssNoHeading1"/>
        <w:rPr>
          <w:color w:val="auto"/>
          <w:shd w:val="clear" w:color="auto" w:fill="auto"/>
        </w:rPr>
      </w:pPr>
      <w:bookmarkStart w:id="293" w:name="_DV_M267"/>
      <w:bookmarkEnd w:id="293"/>
      <w:r>
        <w:t xml:space="preserve">All agreements are to be included under paragraph </w:t>
      </w:r>
      <w:r>
        <w:fldChar w:fldCharType="begin"/>
      </w:r>
      <w:r>
        <w:instrText xml:space="preserve"> REF _Ref92231893  h \n</w:instrText>
      </w:r>
      <w:r>
        <w:fldChar w:fldCharType="separate"/>
      </w:r>
      <w:r w:rsidR="0011178A">
        <w:rPr>
          <w:cs/>
        </w:rPr>
        <w:t>‎</w:t>
      </w:r>
      <w:r w:rsidR="0011178A">
        <w:t>5</w:t>
      </w:r>
      <w:r>
        <w:fldChar w:fldCharType="end"/>
      </w:r>
      <w:r>
        <w:t xml:space="preserve"> which are, or ought reasonably to have been, known to the person valuing the property assuming that all other persons in the ACD’s employment take all reasonable steps to inform it immediately of the making of any agreement.</w:t>
      </w:r>
    </w:p>
    <w:p w:rsidR="004B2147" w:rsidP="000141F7" w14:paraId="0777973F" w14:textId="59987BA5">
      <w:pPr>
        <w:pStyle w:val="ssNoHeading1"/>
        <w:rPr>
          <w:color w:val="auto"/>
          <w:shd w:val="clear" w:color="auto" w:fill="auto"/>
        </w:rPr>
      </w:pPr>
      <w:bookmarkStart w:id="294" w:name="_DV_M268"/>
      <w:bookmarkStart w:id="295" w:name="_DV_M269"/>
      <w:bookmarkStart w:id="296" w:name="_DV_M270"/>
      <w:bookmarkEnd w:id="294"/>
      <w:bookmarkEnd w:id="295"/>
      <w:bookmarkEnd w:id="296"/>
      <w:r>
        <w:t>Deduct an estimated amount for anticipated tax liabilities (on unrealised capital gains where the liabilities have accrued and are payable out of the Scheme</w:t>
      </w:r>
      <w:r w:rsidR="00BC4B44">
        <w:t xml:space="preserve"> Property</w:t>
      </w:r>
      <w:r>
        <w:t xml:space="preserve">; </w:t>
      </w:r>
      <w:r w:rsidR="003B7A9C">
        <w:t xml:space="preserve">and </w:t>
      </w:r>
      <w:r>
        <w:t>on realised capital gains in respect of previously completed and current accounting periods; and on income where liabilities have accrued) including (as applicable and without limitation) capital gains tax, income tax, corporation tax, value added tax, stamp duty and stamp duty reserve tax.</w:t>
      </w:r>
    </w:p>
    <w:p w:rsidR="004B2147" w:rsidP="000141F7" w14:paraId="11F1FE8B" w14:textId="49CC5417">
      <w:pPr>
        <w:pStyle w:val="ssNoHeading1"/>
        <w:rPr>
          <w:color w:val="auto"/>
          <w:shd w:val="clear" w:color="auto" w:fill="auto"/>
        </w:rPr>
      </w:pPr>
      <w:bookmarkStart w:id="297" w:name="_DV_M271"/>
      <w:bookmarkEnd w:id="297"/>
      <w:r>
        <w:t xml:space="preserve">Deduct an estimated amount for any liabilities payable out of the Scheme </w:t>
      </w:r>
      <w:r w:rsidR="003B7A9C">
        <w:t xml:space="preserve">Property </w:t>
      </w:r>
      <w:r>
        <w:t>and any tax thereon treating periodic items as accruing from day to day.</w:t>
      </w:r>
    </w:p>
    <w:p w:rsidR="004B2147" w:rsidP="000141F7" w14:paraId="0BBEC5E2" w14:textId="77777777">
      <w:pPr>
        <w:pStyle w:val="ssNoHeading1"/>
        <w:rPr>
          <w:color w:val="auto"/>
          <w:shd w:val="clear" w:color="auto" w:fill="auto"/>
        </w:rPr>
      </w:pPr>
      <w:bookmarkStart w:id="298" w:name="_DV_M272"/>
      <w:bookmarkEnd w:id="298"/>
      <w:r>
        <w:t>Deduct the principal amount of any outstanding borrowings whenever payable and any accrued but unpaid interest on borrowings.</w:t>
      </w:r>
    </w:p>
    <w:p w:rsidR="004B2147" w:rsidP="000141F7" w14:paraId="30BA2919" w14:textId="77777777">
      <w:pPr>
        <w:pStyle w:val="ssNoHeading1"/>
        <w:rPr>
          <w:color w:val="auto"/>
          <w:shd w:val="clear" w:color="auto" w:fill="auto"/>
        </w:rPr>
      </w:pPr>
      <w:bookmarkStart w:id="299" w:name="_DV_M273"/>
      <w:bookmarkStart w:id="300" w:name="_DV_M274"/>
      <w:bookmarkEnd w:id="299"/>
      <w:bookmarkEnd w:id="300"/>
      <w:r>
        <w:t>Add an estimated amount for accrued claims for tax of whatever nature which may be recoverable.</w:t>
      </w:r>
    </w:p>
    <w:p w:rsidR="004B2147" w:rsidP="000141F7" w14:paraId="70C76E2F" w14:textId="3EC2C674">
      <w:pPr>
        <w:pStyle w:val="ssNoHeading1"/>
        <w:rPr>
          <w:color w:val="auto"/>
          <w:shd w:val="clear" w:color="auto" w:fill="auto"/>
        </w:rPr>
      </w:pPr>
      <w:bookmarkStart w:id="301" w:name="_DV_M275"/>
      <w:bookmarkEnd w:id="301"/>
      <w:r>
        <w:t>Add any other credits or amounts due to be paid into the Scheme</w:t>
      </w:r>
      <w:r w:rsidR="003B7A9C">
        <w:t xml:space="preserve"> Property</w:t>
      </w:r>
      <w:r>
        <w:t>.</w:t>
      </w:r>
    </w:p>
    <w:p w:rsidR="004B2147" w:rsidP="000141F7" w14:paraId="2DDAF391" w14:textId="77777777">
      <w:pPr>
        <w:pStyle w:val="ssNoHeading1"/>
        <w:rPr>
          <w:color w:val="auto"/>
          <w:shd w:val="clear" w:color="auto" w:fill="auto"/>
        </w:rPr>
      </w:pPr>
      <w:bookmarkStart w:id="302" w:name="_DV_M276"/>
      <w:bookmarkStart w:id="303" w:name="_DV_M277"/>
      <w:bookmarkEnd w:id="302"/>
      <w:bookmarkEnd w:id="303"/>
      <w:r>
        <w:t>Add a sum representing any interest or any income accrued due or deemed to have accrued but not received and any stamp duty reserve tax provision anticipated to be received.</w:t>
      </w:r>
    </w:p>
    <w:p w:rsidR="004B2147" w:rsidP="000141F7" w14:paraId="43BECA22" w14:textId="71422955">
      <w:pPr>
        <w:pStyle w:val="ssNoHeading1"/>
        <w:rPr>
          <w:color w:val="auto"/>
          <w:shd w:val="clear" w:color="auto" w:fill="auto"/>
        </w:rPr>
      </w:pPr>
      <w:bookmarkStart w:id="304" w:name="_DV_M278"/>
      <w:bookmarkStart w:id="305" w:name="_DV_M279"/>
      <w:bookmarkEnd w:id="304"/>
      <w:bookmarkEnd w:id="305"/>
      <w:r>
        <w:t>Currencies or values in currencies other than the base currency shall be converted at the relevant valuation point at a rate of exchange that is not likely to result in any material prejudice to the interests of Shareholders or potential Shareholders.</w:t>
      </w:r>
    </w:p>
    <w:p w:rsidR="004B2147" w:rsidP="000141F7" w14:paraId="095D46A2" w14:textId="0717A239">
      <w:pPr>
        <w:pStyle w:val="ssNoHeading1"/>
        <w:rPr>
          <w:color w:val="auto"/>
          <w:shd w:val="clear" w:color="auto" w:fill="auto"/>
        </w:rPr>
      </w:pPr>
      <w:bookmarkStart w:id="306" w:name="_DV_M280"/>
      <w:bookmarkStart w:id="307" w:name="_DV_M281"/>
      <w:bookmarkEnd w:id="306"/>
      <w:bookmarkEnd w:id="307"/>
      <w:r>
        <w:t xml:space="preserve">For the purposes of this Part </w:t>
      </w:r>
      <w:bookmarkStart w:id="308" w:name="_DV_C53"/>
      <w:r>
        <w:t xml:space="preserve">2 of the Schedule, “dealing costs” means any fiscal charges, commission or other charges payable in the event of the carrying out </w:t>
      </w:r>
      <w:r w:rsidR="003B7A9C">
        <w:t xml:space="preserve">of </w:t>
      </w:r>
      <w:r>
        <w:t xml:space="preserve">the transaction in question (but excluding any preliminary charge payable by the </w:t>
      </w:r>
      <w:r w:rsidR="003B7A9C">
        <w:t xml:space="preserve">Company </w:t>
      </w:r>
      <w:r>
        <w:t>on the purchase of units or shares)</w:t>
      </w:r>
      <w:bookmarkStart w:id="309" w:name="_DV_M282"/>
      <w:bookmarkEnd w:id="308"/>
      <w:bookmarkEnd w:id="309"/>
      <w:r>
        <w:t xml:space="preserve">, assuming that the commission and charges (other than fiscal charges) which would be payable by the </w:t>
      </w:r>
      <w:r w:rsidR="003B7A9C">
        <w:t xml:space="preserve">Company </w:t>
      </w:r>
      <w:r>
        <w:t xml:space="preserve">are the least that could reasonably be expected to be paid in order to carry out the transaction. </w:t>
      </w:r>
    </w:p>
    <w:p w:rsidR="004B2147" w:rsidP="00367AC2" w14:paraId="5A6B64E1" w14:textId="77777777">
      <w:pPr>
        <w:pStyle w:val="ssNoHeading1"/>
        <w:numPr>
          <w:ilvl w:val="0"/>
          <w:numId w:val="0"/>
        </w:numPr>
        <w:rPr>
          <w:color w:val="auto"/>
          <w:shd w:val="clear" w:color="auto" w:fill="auto"/>
        </w:rPr>
      </w:pPr>
      <w:bookmarkEnd w:id="204"/>
      <w:r>
        <w:br w:type="page"/>
      </w:r>
    </w:p>
    <w:p w:rsidR="004B2147" w:rsidP="006C000D" w14:paraId="6509F622" w14:textId="38A5B040">
      <w:pPr>
        <w:pStyle w:val="ssqPart"/>
        <w:numPr>
          <w:ilvl w:val="1"/>
          <w:numId w:val="71"/>
        </w:numPr>
        <w:rPr>
          <w:color w:val="auto"/>
          <w:shd w:val="clear" w:color="auto" w:fill="auto"/>
        </w:rPr>
      </w:pPr>
      <w:bookmarkStart w:id="310" w:name="_Toc523829776"/>
      <w:bookmarkStart w:id="311" w:name="_Toc80522095"/>
      <w:bookmarkStart w:id="312" w:name="_Ref92237296"/>
      <w:bookmarkStart w:id="313" w:name="_Ref92237462"/>
      <w:bookmarkStart w:id="314" w:name="_Ref95175162"/>
      <w:bookmarkStart w:id="315" w:name="_Ref95175186"/>
      <w:bookmarkStart w:id="316" w:name="_Ref95175208"/>
      <w:bookmarkStart w:id="317" w:name="_Ref95175240"/>
      <w:bookmarkStart w:id="318" w:name="_Ref95175287"/>
      <w:bookmarkStart w:id="319" w:name="_Toc119942071"/>
      <w:r>
        <w:t>: [Allocation of Rights to Participate in the Property of a Fund</w:t>
      </w:r>
      <w:r>
        <w:rPr>
          <w:bCs/>
        </w:rPr>
        <w:t>]</w:t>
      </w:r>
      <w:r>
        <w:rPr>
          <w:rStyle w:val="EndnoteReference"/>
        </w:rPr>
        <w:endnoteReference w:id="58"/>
      </w:r>
      <w:bookmarkEnd w:id="310"/>
      <w:bookmarkEnd w:id="311"/>
      <w:bookmarkEnd w:id="312"/>
      <w:bookmarkEnd w:id="313"/>
      <w:bookmarkEnd w:id="314"/>
      <w:bookmarkEnd w:id="315"/>
      <w:bookmarkEnd w:id="316"/>
      <w:bookmarkEnd w:id="317"/>
      <w:bookmarkEnd w:id="318"/>
      <w:bookmarkEnd w:id="319"/>
    </w:p>
    <w:p w:rsidR="000141F7" w:rsidRPr="000F6F38" w:rsidP="000141F7" w14:paraId="4A3473DB" w14:textId="77777777">
      <w:pPr>
        <w:pStyle w:val="ssRestartNumber"/>
        <w:rPr>
          <w:color w:val="auto"/>
          <w:shd w:val="clear" w:color="auto" w:fill="auto"/>
        </w:rPr>
      </w:pPr>
      <w:bookmarkStart w:id="320" w:name="BrochetPasteInsertCopyThisRange"/>
    </w:p>
    <w:p w:rsidR="000141F7" w:rsidP="000141F7" w14:paraId="594D7BEA" w14:textId="78BE0523">
      <w:pPr>
        <w:pStyle w:val="ssNoHeading1"/>
        <w:rPr>
          <w:color w:val="auto"/>
          <w:shd w:val="clear" w:color="auto" w:fill="auto"/>
        </w:rPr>
      </w:pPr>
      <w:r>
        <w:t xml:space="preserve">If there is more than one Class </w:t>
      </w:r>
      <w:r w:rsidR="006A230C">
        <w:t xml:space="preserve">of Shares </w:t>
      </w:r>
      <w:r>
        <w:t>in issue in a Fund, the proportionate interests of each Class of Shares in the</w:t>
      </w:r>
      <w:r w:rsidR="009D4F61">
        <w:t xml:space="preserve"> Scheme Property of the</w:t>
      </w:r>
      <w:r>
        <w:t xml:space="preserve"> Fund shall be ascertained as follows:</w:t>
      </w:r>
    </w:p>
    <w:p w:rsidR="000141F7" w:rsidP="00711287" w14:paraId="0C97944E" w14:textId="7878C905">
      <w:pPr>
        <w:pStyle w:val="ssNoHeading2"/>
        <w:tabs>
          <w:tab w:val="clear" w:pos="709"/>
          <w:tab w:val="num" w:pos="1418"/>
        </w:tabs>
        <w:ind w:left="1418"/>
        <w:rPr>
          <w:color w:val="auto"/>
          <w:shd w:val="clear" w:color="auto" w:fill="auto"/>
        </w:rPr>
      </w:pPr>
      <w:r>
        <w:t>A notional account shall be maintained for each Class of Shares.</w:t>
      </w:r>
      <w:r w:rsidR="000F6F38">
        <w:t xml:space="preserve"> </w:t>
      </w:r>
      <w:r>
        <w:t>Each account shall be referred to as a “Proportion Account”</w:t>
      </w:r>
      <w:r w:rsidR="007D3035">
        <w:t xml:space="preserve"> </w:t>
      </w:r>
      <w:bookmarkStart w:id="321" w:name="_Hlk117868146"/>
      <w:r w:rsidR="007D3035">
        <w:t>and the proportionate interest of a Class of Shares in the assets and income of a Fund is its “proportion”</w:t>
      </w:r>
      <w:r>
        <w:t>.</w:t>
      </w:r>
    </w:p>
    <w:p w:rsidR="000141F7" w:rsidP="00711287" w14:paraId="2E213513" w14:textId="1FAD5486">
      <w:pPr>
        <w:pStyle w:val="ssNoHeading2"/>
        <w:tabs>
          <w:tab w:val="clear" w:pos="709"/>
          <w:tab w:val="num" w:pos="1418"/>
        </w:tabs>
        <w:ind w:left="1418"/>
        <w:rPr>
          <w:color w:val="auto"/>
          <w:shd w:val="clear" w:color="auto" w:fill="auto"/>
        </w:rPr>
      </w:pPr>
      <w:bookmarkEnd w:id="321"/>
      <w:r>
        <w:t>The word “proportion” in the following paragraphs means the proportion which the balance on a Proportion Account at the relevant time bears to the balance on all the Proportion Accounts of a Fund at that time</w:t>
      </w:r>
      <w:bookmarkStart w:id="322" w:name="_Hlk117868199"/>
      <w:r w:rsidR="006D5C5D">
        <w:t>[</w:t>
      </w:r>
      <w:r w:rsidR="000F6F38">
        <w:t xml:space="preserve">, provided that, if </w:t>
      </w:r>
      <w:bookmarkStart w:id="323" w:name="_Hlk98087173"/>
      <w:r w:rsidR="000F6F38">
        <w:t>Special Investment Shares are in issue</w:t>
      </w:r>
      <w:r w:rsidR="007D3035">
        <w:t xml:space="preserve"> in respect of a Fund</w:t>
      </w:r>
      <w:bookmarkEnd w:id="323"/>
      <w:r w:rsidR="000F6F38">
        <w:t xml:space="preserve">, </w:t>
      </w:r>
      <w:r w:rsidRPr="000F6F38" w:rsidR="000F6F38">
        <w:t xml:space="preserve">the proportion shall be adjusted such that the assets, liabilities, expenses, costs and charges attributable to such </w:t>
      </w:r>
      <w:r w:rsidR="000F6F38">
        <w:t>Special Investment Shares</w:t>
      </w:r>
      <w:r w:rsidRPr="000F6F38" w:rsidR="000F6F38">
        <w:t xml:space="preserve"> shall be allocated to the notional account of the relevant</w:t>
      </w:r>
      <w:r w:rsidR="000F6F38">
        <w:t xml:space="preserve"> </w:t>
      </w:r>
      <w:r w:rsidR="007D3035">
        <w:t xml:space="preserve">Class of </w:t>
      </w:r>
      <w:r w:rsidR="000F6F38">
        <w:t>Special Investment Shares only</w:t>
      </w:r>
      <w:r>
        <w:t xml:space="preserve">. </w:t>
      </w:r>
      <w:r w:rsidR="00A3428E">
        <w:t>Accordingly:</w:t>
      </w:r>
    </w:p>
    <w:p w:rsidR="00A3428E" w:rsidRPr="002D31A3" w:rsidP="00A3428E" w14:paraId="35ED60DF" w14:textId="669AAE8B">
      <w:pPr>
        <w:pStyle w:val="ssNoHeading3"/>
        <w:tabs>
          <w:tab w:val="clear" w:pos="1418"/>
          <w:tab w:val="num" w:pos="2127"/>
        </w:tabs>
        <w:ind w:left="2127"/>
        <w:rPr>
          <w:color w:val="auto"/>
          <w:shd w:val="clear" w:color="auto" w:fill="auto"/>
        </w:rPr>
      </w:pPr>
      <w:r w:rsidRPr="002D31A3">
        <w:t xml:space="preserve">for the Proportion Account </w:t>
      </w:r>
      <w:r w:rsidRPr="00F67DD0" w:rsidR="00582582">
        <w:t>o</w:t>
      </w:r>
      <w:r w:rsidRPr="002D31A3">
        <w:t xml:space="preserve">f </w:t>
      </w:r>
      <w:r w:rsidRPr="002D31A3" w:rsidR="007D3035">
        <w:t>a</w:t>
      </w:r>
      <w:r w:rsidRPr="002D31A3">
        <w:t xml:space="preserve"> </w:t>
      </w:r>
      <w:r w:rsidRPr="002D31A3" w:rsidR="007D3035">
        <w:t xml:space="preserve">Class of </w:t>
      </w:r>
      <w:r w:rsidRPr="002D31A3">
        <w:t xml:space="preserve">Special Investment </w:t>
      </w:r>
      <w:r w:rsidRPr="002D31A3" w:rsidR="007D3035">
        <w:t>Shares</w:t>
      </w:r>
      <w:r w:rsidRPr="002D31A3">
        <w:t>, the credits and debits identified below in respect of th</w:t>
      </w:r>
      <w:r w:rsidRPr="002D31A3" w:rsidR="007D3035">
        <w:t>at</w:t>
      </w:r>
      <w:r w:rsidRPr="002D31A3">
        <w:t xml:space="preserve"> </w:t>
      </w:r>
      <w:r w:rsidRPr="002D31A3" w:rsidR="007D3035">
        <w:t>Class of Special Investment Shares</w:t>
      </w:r>
      <w:r w:rsidRPr="002D31A3">
        <w:t xml:space="preserve"> (“</w:t>
      </w:r>
      <w:r w:rsidRPr="002D31A3">
        <w:rPr>
          <w:u w:val="single"/>
        </w:rPr>
        <w:t xml:space="preserve">the </w:t>
      </w:r>
      <w:r w:rsidRPr="002D31A3" w:rsidR="007D3035">
        <w:rPr>
          <w:u w:val="single"/>
        </w:rPr>
        <w:t xml:space="preserve">Special Investment Share </w:t>
      </w:r>
      <w:r w:rsidRPr="002D31A3">
        <w:rPr>
          <w:u w:val="single"/>
        </w:rPr>
        <w:t>Class Amounts</w:t>
      </w:r>
      <w:r w:rsidRPr="002D31A3">
        <w:t xml:space="preserve">”) shall be credited and debited </w:t>
      </w:r>
      <w:r w:rsidRPr="002D31A3" w:rsidR="007D3035">
        <w:t xml:space="preserve">solely </w:t>
      </w:r>
      <w:r w:rsidRPr="002D31A3">
        <w:t xml:space="preserve">to the Proportion Account </w:t>
      </w:r>
      <w:r w:rsidRPr="002D31A3" w:rsidR="007D3035">
        <w:t>for</w:t>
      </w:r>
      <w:r w:rsidRPr="002D31A3">
        <w:t xml:space="preserve"> that </w:t>
      </w:r>
      <w:r w:rsidRPr="002D31A3" w:rsidR="007D3035">
        <w:t>Class of Special Investment Shares</w:t>
      </w:r>
      <w:r w:rsidR="00C7505B">
        <w:t xml:space="preserve"> and a</w:t>
      </w:r>
      <w:r w:rsidRPr="006D5C5D" w:rsidR="00C7505B">
        <w:t xml:space="preserve">ccordingly, credits and debits in respect of </w:t>
      </w:r>
      <w:r w:rsidR="00C7505B">
        <w:t xml:space="preserve">Special Investment Share </w:t>
      </w:r>
      <w:r w:rsidRPr="00A3428E" w:rsidR="00C7505B">
        <w:t>Class Amounts</w:t>
      </w:r>
      <w:r w:rsidRPr="006D5C5D" w:rsidR="00C7505B">
        <w:t xml:space="preserve"> for a </w:t>
      </w:r>
      <w:r w:rsidR="00C7505B">
        <w:t>C</w:t>
      </w:r>
      <w:r w:rsidRPr="006D5C5D" w:rsidR="00C7505B">
        <w:t xml:space="preserve">lass of </w:t>
      </w:r>
      <w:r w:rsidR="00C7505B">
        <w:t>Special Investment Shares</w:t>
      </w:r>
      <w:r w:rsidRPr="006D5C5D" w:rsidR="00C7505B">
        <w:t xml:space="preserve"> shall not give rise to any credits or debits to Proportion Accounts for any other </w:t>
      </w:r>
      <w:r w:rsidR="00C7505B">
        <w:t>C</w:t>
      </w:r>
      <w:r w:rsidRPr="006D5C5D" w:rsidR="00C7505B">
        <w:t>lass</w:t>
      </w:r>
      <w:r w:rsidRPr="002D31A3">
        <w:t>; and</w:t>
      </w:r>
    </w:p>
    <w:p w:rsidR="00A3428E" w:rsidRPr="002D31A3" w:rsidP="00A3428E" w14:paraId="58CEBAF2" w14:textId="5608893A">
      <w:pPr>
        <w:pStyle w:val="ssNoHeading3"/>
        <w:tabs>
          <w:tab w:val="clear" w:pos="1418"/>
          <w:tab w:val="num" w:pos="2127"/>
        </w:tabs>
        <w:ind w:left="2127"/>
        <w:rPr>
          <w:color w:val="auto"/>
          <w:shd w:val="clear" w:color="auto" w:fill="auto"/>
        </w:rPr>
      </w:pPr>
      <w:r w:rsidRPr="002D31A3">
        <w:t xml:space="preserve">consequently, the </w:t>
      </w:r>
      <w:r w:rsidRPr="002D31A3" w:rsidR="007D3035">
        <w:t xml:space="preserve">Special Investment Share Class Amounts </w:t>
      </w:r>
      <w:r w:rsidRPr="002D31A3">
        <w:t xml:space="preserve">shall be excluded from assessment of the balance on all the </w:t>
      </w:r>
      <w:r w:rsidRPr="002D31A3" w:rsidR="007D3035">
        <w:t xml:space="preserve">other </w:t>
      </w:r>
      <w:r w:rsidRPr="002D31A3">
        <w:t>Proportion Accounts for the purposes of applying the proportion of the Fund which is u</w:t>
      </w:r>
      <w:r w:rsidRPr="00F67DD0" w:rsidR="002F2F4A">
        <w:t xml:space="preserve">sed </w:t>
      </w:r>
      <w:r w:rsidRPr="002D31A3">
        <w:t>for the purposes of allocating all other assets, liabilities, expenses, costs or charges between Share Classes</w:t>
      </w:r>
      <w:r w:rsidRPr="002D31A3" w:rsidR="006D5C5D">
        <w:t>]</w:t>
      </w:r>
      <w:r>
        <w:rPr>
          <w:rStyle w:val="EndnoteReference"/>
        </w:rPr>
        <w:endnoteReference w:id="59"/>
      </w:r>
      <w:r w:rsidRPr="002D31A3">
        <w:t>.</w:t>
      </w:r>
    </w:p>
    <w:p w:rsidR="000141F7" w:rsidP="00711287" w14:paraId="4AFDF158" w14:textId="77777777">
      <w:pPr>
        <w:pStyle w:val="ssNoHeading2"/>
        <w:tabs>
          <w:tab w:val="clear" w:pos="709"/>
          <w:tab w:val="num" w:pos="1418"/>
        </w:tabs>
        <w:ind w:left="1418"/>
        <w:rPr>
          <w:color w:val="auto"/>
          <w:shd w:val="clear" w:color="auto" w:fill="auto"/>
        </w:rPr>
      </w:pPr>
      <w:bookmarkEnd w:id="322"/>
      <w:r>
        <w:t>There shall be credited to a Proportion Account:</w:t>
      </w:r>
    </w:p>
    <w:p w:rsidR="000141F7" w:rsidP="00711287" w14:paraId="0B2095D6" w14:textId="7F78FDC3">
      <w:pPr>
        <w:pStyle w:val="ssNoHeading3"/>
        <w:tabs>
          <w:tab w:val="clear" w:pos="1418"/>
          <w:tab w:val="num" w:pos="2127"/>
        </w:tabs>
        <w:ind w:left="2127"/>
        <w:rPr>
          <w:color w:val="auto"/>
          <w:shd w:val="clear" w:color="auto" w:fill="auto"/>
        </w:rPr>
      </w:pPr>
      <w:bookmarkStart w:id="324" w:name="_Hlk117868405"/>
      <w:r>
        <w:t xml:space="preserve">the subscription </w:t>
      </w:r>
      <w:r w:rsidR="00C973C7">
        <w:t xml:space="preserve">amount whether paid in cash or in specie </w:t>
      </w:r>
      <w:r>
        <w:t xml:space="preserve">(excluding any initial charges or dilution </w:t>
      </w:r>
      <w:r w:rsidRPr="00EC19F3">
        <w:t>levy</w:t>
      </w:r>
      <w:r w:rsidRPr="00EC19F3" w:rsidR="00993C94">
        <w:t xml:space="preserve"> </w:t>
      </w:r>
      <w:r>
        <w:t>for the issue of shares of the relevant Class</w:t>
      </w:r>
      <w:r w:rsidR="00C973C7">
        <w:t xml:space="preserve"> (“</w:t>
      </w:r>
      <w:r w:rsidRPr="00362433" w:rsidR="00C973C7">
        <w:rPr>
          <w:u w:val="single"/>
        </w:rPr>
        <w:t>subscription money</w:t>
      </w:r>
      <w:r w:rsidR="00C973C7">
        <w:t>”)</w:t>
      </w:r>
      <w:r>
        <w:t>;</w:t>
      </w:r>
    </w:p>
    <w:p w:rsidR="000141F7" w:rsidP="00711287" w14:paraId="7C20F68D" w14:textId="39B56205">
      <w:pPr>
        <w:pStyle w:val="ssNoHeading3"/>
        <w:tabs>
          <w:tab w:val="clear" w:pos="1418"/>
          <w:tab w:val="num" w:pos="2127"/>
        </w:tabs>
        <w:ind w:left="2127"/>
        <w:rPr>
          <w:color w:val="auto"/>
          <w:shd w:val="clear" w:color="auto" w:fill="auto"/>
        </w:rPr>
      </w:pPr>
      <w:r>
        <w:t>that Class’s proportion of the amount by which the Net Asset Value of the Fund exceeds the total subscription money for all Shares in the Fund;</w:t>
      </w:r>
    </w:p>
    <w:p w:rsidR="000141F7" w:rsidP="00711287" w14:paraId="179F67D3" w14:textId="46E76FDD">
      <w:pPr>
        <w:pStyle w:val="ssNoHeading3"/>
        <w:tabs>
          <w:tab w:val="clear" w:pos="1418"/>
          <w:tab w:val="num" w:pos="2127"/>
        </w:tabs>
        <w:ind w:left="2127"/>
        <w:rPr>
          <w:color w:val="auto"/>
          <w:shd w:val="clear" w:color="auto" w:fill="auto"/>
        </w:rPr>
      </w:pPr>
      <w:r>
        <w:t xml:space="preserve">that Class’s proportion of the Fund </w:t>
      </w:r>
      <w:r w:rsidR="000500A7">
        <w:t xml:space="preserve">is </w:t>
      </w:r>
      <w:r>
        <w:t>income received and receivable; and</w:t>
      </w:r>
    </w:p>
    <w:p w:rsidR="000141F7" w:rsidP="00711287" w14:paraId="595ED302" w14:textId="4A978480">
      <w:pPr>
        <w:pStyle w:val="ssNoHeading3"/>
        <w:tabs>
          <w:tab w:val="clear" w:pos="1418"/>
          <w:tab w:val="num" w:pos="2127"/>
        </w:tabs>
        <w:ind w:left="2127"/>
        <w:rPr>
          <w:color w:val="auto"/>
          <w:shd w:val="clear" w:color="auto" w:fill="auto"/>
        </w:rPr>
      </w:pPr>
      <w:r>
        <w:t xml:space="preserve">any notional tax benefit under paragraph </w:t>
      </w:r>
      <w:r w:rsidR="006D5C5D">
        <w:fldChar w:fldCharType="begin"/>
      </w:r>
      <w:r w:rsidR="006D5C5D">
        <w:instrText xml:space="preserve"> REF _Ref98086865 \r \h </w:instrText>
      </w:r>
      <w:r w:rsidR="006D5C5D">
        <w:fldChar w:fldCharType="separate"/>
      </w:r>
      <w:r w:rsidR="0011178A">
        <w:rPr>
          <w:cs/>
        </w:rPr>
        <w:t>‎</w:t>
      </w:r>
      <w:r w:rsidR="0011178A">
        <w:t>1.5</w:t>
      </w:r>
      <w:r w:rsidR="006D5C5D">
        <w:fldChar w:fldCharType="end"/>
      </w:r>
      <w:r w:rsidR="006D5C5D">
        <w:t>]</w:t>
      </w:r>
      <w:r>
        <w:t xml:space="preserve"> below.</w:t>
      </w:r>
    </w:p>
    <w:p w:rsidR="000141F7" w:rsidP="00711287" w14:paraId="25D1C6E6" w14:textId="77777777">
      <w:pPr>
        <w:pStyle w:val="ssNoHeading2"/>
        <w:tabs>
          <w:tab w:val="clear" w:pos="709"/>
          <w:tab w:val="num" w:pos="1418"/>
        </w:tabs>
        <w:ind w:left="1418"/>
        <w:rPr>
          <w:color w:val="auto"/>
          <w:shd w:val="clear" w:color="auto" w:fill="auto"/>
        </w:rPr>
      </w:pPr>
      <w:bookmarkEnd w:id="324"/>
      <w:r>
        <w:t>There shall be debited to a Proportion Account:</w:t>
      </w:r>
    </w:p>
    <w:p w:rsidR="000141F7" w:rsidP="00711287" w14:paraId="7BC830DB" w14:textId="4452D090">
      <w:pPr>
        <w:pStyle w:val="ssNoHeading3"/>
        <w:tabs>
          <w:tab w:val="clear" w:pos="1418"/>
          <w:tab w:val="num" w:pos="2127"/>
        </w:tabs>
        <w:ind w:left="2127"/>
        <w:rPr>
          <w:color w:val="auto"/>
          <w:shd w:val="clear" w:color="auto" w:fill="auto"/>
        </w:rPr>
      </w:pPr>
      <w:bookmarkStart w:id="325" w:name="_Hlk117868471"/>
      <w:r>
        <w:t>the redemption payment for the cancellation of Shares of the relevant Class;</w:t>
      </w:r>
    </w:p>
    <w:p w:rsidR="000141F7" w:rsidP="00711287" w14:paraId="4A073074" w14:textId="3E1A5EFD">
      <w:pPr>
        <w:pStyle w:val="ssNoHeading3"/>
        <w:tabs>
          <w:tab w:val="clear" w:pos="1418"/>
          <w:tab w:val="num" w:pos="2127"/>
        </w:tabs>
        <w:ind w:left="2127"/>
        <w:rPr>
          <w:color w:val="auto"/>
          <w:shd w:val="clear" w:color="auto" w:fill="auto"/>
        </w:rPr>
      </w:pPr>
      <w:r>
        <w:t>that Class’s proportion of any amount by which the Net Asset Value of the Fund falls short of the total subscription money for all Shares in the Fund;</w:t>
      </w:r>
    </w:p>
    <w:p w:rsidR="000141F7" w:rsidP="00711287" w14:paraId="10DAA564" w14:textId="1238A5C1">
      <w:pPr>
        <w:pStyle w:val="ssNoHeading3"/>
        <w:tabs>
          <w:tab w:val="clear" w:pos="1418"/>
          <w:tab w:val="num" w:pos="2127"/>
        </w:tabs>
        <w:ind w:left="2127"/>
        <w:rPr>
          <w:color w:val="auto"/>
          <w:shd w:val="clear" w:color="auto" w:fill="auto"/>
        </w:rPr>
      </w:pPr>
      <w:r>
        <w:t xml:space="preserve">all distributions of income (including equalisation if any) made to </w:t>
      </w:r>
      <w:r w:rsidR="00747A38">
        <w:t>Shareholder</w:t>
      </w:r>
      <w:r>
        <w:t>s of that Class;</w:t>
      </w:r>
    </w:p>
    <w:p w:rsidR="000141F7" w:rsidP="00711287" w14:paraId="2F07993D" w14:textId="61CB9ABD">
      <w:pPr>
        <w:pStyle w:val="ssNoHeading3"/>
        <w:tabs>
          <w:tab w:val="clear" w:pos="1418"/>
          <w:tab w:val="num" w:pos="2127"/>
        </w:tabs>
        <w:ind w:left="2127"/>
        <w:rPr>
          <w:color w:val="auto"/>
          <w:shd w:val="clear" w:color="auto" w:fill="auto"/>
        </w:rPr>
      </w:pPr>
      <w:r>
        <w:t>all costs, charges and expenses incurred solely in respect of that Class;</w:t>
      </w:r>
    </w:p>
    <w:p w:rsidR="000141F7" w:rsidP="00711287" w14:paraId="518E7D92" w14:textId="2B336228">
      <w:pPr>
        <w:pStyle w:val="ssNoHeading3"/>
        <w:tabs>
          <w:tab w:val="clear" w:pos="1418"/>
          <w:tab w:val="num" w:pos="2127"/>
        </w:tabs>
        <w:ind w:left="2127"/>
        <w:rPr>
          <w:color w:val="auto"/>
          <w:shd w:val="clear" w:color="auto" w:fill="auto"/>
        </w:rPr>
      </w:pPr>
      <w:r>
        <w:t xml:space="preserve">that Class’s </w:t>
      </w:r>
      <w:r w:rsidR="00FC43DB">
        <w:t xml:space="preserve">share </w:t>
      </w:r>
      <w:r>
        <w:t>of the costs, charges and expenses incurred in respect of that Class and one or more other Classes in the Fund, but not in respect of the Fund as a whole;</w:t>
      </w:r>
    </w:p>
    <w:p w:rsidR="000141F7" w:rsidP="00711287" w14:paraId="62741DA8" w14:textId="50C9EFBE">
      <w:pPr>
        <w:pStyle w:val="ssNoHeading3"/>
        <w:tabs>
          <w:tab w:val="clear" w:pos="1418"/>
          <w:tab w:val="num" w:pos="2127"/>
        </w:tabs>
        <w:ind w:left="2127"/>
        <w:rPr>
          <w:color w:val="auto"/>
          <w:shd w:val="clear" w:color="auto" w:fill="auto"/>
        </w:rPr>
      </w:pPr>
      <w:r>
        <w:t xml:space="preserve">that Class’s </w:t>
      </w:r>
      <w:r w:rsidR="00FC43DB">
        <w:t xml:space="preserve">share </w:t>
      </w:r>
      <w:r>
        <w:t>of the costs, charges and expenses incurred in respect of or attributable to the Fund as a whole; and</w:t>
      </w:r>
    </w:p>
    <w:p w:rsidR="000141F7" w:rsidP="00711287" w14:paraId="1BA2AB26" w14:textId="22C44B58">
      <w:pPr>
        <w:pStyle w:val="ssNoHeading3"/>
        <w:tabs>
          <w:tab w:val="clear" w:pos="1418"/>
          <w:tab w:val="num" w:pos="2127"/>
        </w:tabs>
        <w:ind w:left="2127"/>
        <w:rPr>
          <w:color w:val="auto"/>
          <w:shd w:val="clear" w:color="auto" w:fill="auto"/>
        </w:rPr>
      </w:pPr>
      <w:r>
        <w:t xml:space="preserve">any notional tax liability under paragraph </w:t>
      </w:r>
      <w:r w:rsidR="006D5C5D">
        <w:t>[</w:t>
      </w:r>
      <w:r w:rsidR="006D5C5D">
        <w:fldChar w:fldCharType="begin"/>
      </w:r>
      <w:r w:rsidR="006D5C5D">
        <w:instrText xml:space="preserve"> REF _Ref98086865 \r \h </w:instrText>
      </w:r>
      <w:r w:rsidR="006D5C5D">
        <w:fldChar w:fldCharType="separate"/>
      </w:r>
      <w:r w:rsidR="0011178A">
        <w:rPr>
          <w:cs/>
        </w:rPr>
        <w:t>‎</w:t>
      </w:r>
      <w:r w:rsidR="0011178A">
        <w:t>1.5</w:t>
      </w:r>
      <w:r w:rsidR="006D5C5D">
        <w:fldChar w:fldCharType="end"/>
      </w:r>
      <w:r w:rsidR="006D5C5D">
        <w:t>]</w:t>
      </w:r>
      <w:r w:rsidR="00C973C7">
        <w:t>.</w:t>
      </w:r>
    </w:p>
    <w:p w:rsidR="000141F7" w:rsidP="00711287" w14:paraId="4A8C809C" w14:textId="4137B04B">
      <w:pPr>
        <w:pStyle w:val="ssNoHeading2"/>
        <w:tabs>
          <w:tab w:val="clear" w:pos="709"/>
          <w:tab w:val="num" w:pos="1418"/>
        </w:tabs>
        <w:ind w:left="1418"/>
        <w:rPr>
          <w:color w:val="auto"/>
          <w:shd w:val="clear" w:color="auto" w:fill="auto"/>
        </w:rPr>
      </w:pPr>
      <w:bookmarkStart w:id="326" w:name="_Ref92232016"/>
      <w:bookmarkStart w:id="327" w:name="_Ref98086865"/>
      <w:bookmarkStart w:id="328" w:name="_Hlk117868603"/>
      <w:bookmarkEnd w:id="325"/>
      <w:r>
        <w:t>Any tax liability in respect of the Fund and any tax benefit received or receivable in respect of the Fund shall be allocated between Share Classes in order to achieve, so far as possible, the same result as would have been achieved if each Class were itself a Fund so as not materially to prejudice any Class.</w:t>
      </w:r>
      <w:r w:rsidR="000F6F38">
        <w:t xml:space="preserve"> </w:t>
      </w:r>
      <w:r>
        <w:t>The allocation shall be carried out by the ACD after consultation with the auditors.</w:t>
      </w:r>
      <w:bookmarkEnd w:id="326"/>
      <w:bookmarkEnd w:id="327"/>
    </w:p>
    <w:p w:rsidR="000141F7" w:rsidP="00711287" w14:paraId="0B2EB62B" w14:textId="556FA0BC">
      <w:pPr>
        <w:pStyle w:val="ssNoHeading2"/>
        <w:tabs>
          <w:tab w:val="clear" w:pos="709"/>
          <w:tab w:val="num" w:pos="1418"/>
        </w:tabs>
        <w:ind w:left="1418"/>
        <w:rPr>
          <w:color w:val="auto"/>
          <w:shd w:val="clear" w:color="auto" w:fill="auto"/>
        </w:rPr>
      </w:pPr>
      <w:r>
        <w:t>Where a Class is denominated in a currency which is not the Base Currency, the balance on the Proportion Account shall be converted into the Base Currency in order to ascertain the proportions of all Classes.</w:t>
      </w:r>
      <w:r w:rsidR="000F6F38">
        <w:t xml:space="preserve"> </w:t>
      </w:r>
      <w:r>
        <w:t xml:space="preserve">Conversions between currencies shall be at a rate of exchange decided by the ACD as being a rate that is not likely to result in any material prejudice to the interests of </w:t>
      </w:r>
      <w:r w:rsidR="00747A38">
        <w:t>Shareholder</w:t>
      </w:r>
      <w:r>
        <w:t xml:space="preserve">s or potential </w:t>
      </w:r>
      <w:r w:rsidR="00747A38">
        <w:t>Shareholder</w:t>
      </w:r>
      <w:r>
        <w:t>s.</w:t>
      </w:r>
    </w:p>
    <w:p w:rsidR="006D5C5D" w:rsidP="00335714" w14:paraId="5DE01F95" w14:textId="0576650F">
      <w:pPr>
        <w:pStyle w:val="ssNoHeading2"/>
        <w:tabs>
          <w:tab w:val="clear" w:pos="709"/>
          <w:tab w:val="num" w:pos="1418"/>
        </w:tabs>
        <w:ind w:left="1418"/>
        <w:rPr>
          <w:color w:val="auto"/>
          <w:shd w:val="clear" w:color="auto" w:fill="auto"/>
        </w:rPr>
      </w:pPr>
      <w:r>
        <w:t>The Proportion Accounts are notional accounts maintained for the purpose of calculating proportions.</w:t>
      </w:r>
      <w:r w:rsidR="000F6F38">
        <w:t xml:space="preserve"> </w:t>
      </w:r>
      <w:r>
        <w:t xml:space="preserve">They do not represent debts from the Company to </w:t>
      </w:r>
      <w:r w:rsidR="00747A38">
        <w:t>Shareholder</w:t>
      </w:r>
      <w:r>
        <w:t>s or the other way round.</w:t>
      </w:r>
    </w:p>
    <w:p w:rsidR="000141F7" w:rsidP="000141F7" w14:paraId="5800B712" w14:textId="6F8F0C84">
      <w:pPr>
        <w:pStyle w:val="ssNoHeading1"/>
        <w:rPr>
          <w:color w:val="auto"/>
          <w:shd w:val="clear" w:color="auto" w:fill="auto"/>
        </w:rPr>
      </w:pPr>
      <w:r>
        <w:t>Each credit and debit to a Proportion Account shall be allocated to that account on the basis of that Class’s proportion immediately before the allocation.</w:t>
      </w:r>
      <w:r w:rsidR="000F6F38">
        <w:t xml:space="preserve"> </w:t>
      </w:r>
      <w:r>
        <w:t>All such adjustments shall be made as are necessary to ensure that on no occasion on which the proportions are ascertained is any amount counted more than once.</w:t>
      </w:r>
    </w:p>
    <w:p w:rsidR="00464B05" w:rsidP="00464B05" w14:paraId="1F3345C9" w14:textId="77777777">
      <w:pPr>
        <w:pStyle w:val="ssNoHeading1"/>
        <w:rPr>
          <w:color w:val="auto"/>
          <w:spacing w:val="-2"/>
          <w:shd w:val="clear" w:color="auto" w:fill="auto"/>
        </w:rPr>
      </w:pPr>
      <w:r>
        <w:t xml:space="preserve">When Shares are issued thereafter each such Share shall represent the same proportionate interest in the property of the relevant Fund as each other Share of the same denomination and Class then in issue in respect of that Fund. </w:t>
      </w:r>
    </w:p>
    <w:p w:rsidR="000141F7" w:rsidRPr="00362433" w:rsidP="00CE1F02" w14:paraId="22492615" w14:textId="5F6EF9F2">
      <w:pPr>
        <w:pStyle w:val="ssNoHeading1"/>
        <w:rPr>
          <w:color w:val="auto"/>
          <w:spacing w:val="-2"/>
          <w:shd w:val="clear" w:color="auto" w:fill="auto"/>
        </w:rPr>
      </w:pPr>
      <w:r>
        <w:t>The Company shall allocate the amount available for income allocation (calculated in accordance with the FCA Rules) between the Classes in issue in respect of the relevant Fund according to their respective proportionate interests in the property of the Fund represented by the Shares in issue at the valuation point in question.</w:t>
      </w:r>
      <w:bookmarkEnd w:id="320"/>
    </w:p>
    <w:p w:rsidR="005B78D2" w14:paraId="6AB0F124" w14:textId="735BDA3C">
      <w:pPr>
        <w:jc w:val="left"/>
        <w:rPr>
          <w:rFonts w:eastAsia="MingLiU" w:cs="Times New Roman"/>
          <w:bCs/>
          <w:color w:val="auto"/>
          <w:kern w:val="32"/>
          <w:szCs w:val="28"/>
          <w:shd w:val="clear" w:color="auto" w:fill="auto"/>
          <w:lang w:eastAsia="en-GB"/>
        </w:rPr>
      </w:pPr>
      <w:bookmarkEnd w:id="328"/>
      <w:r>
        <w:br w:type="page"/>
      </w:r>
    </w:p>
    <w:p w:rsidR="005B78D2" w:rsidRPr="00D1794C" w:rsidP="00D1794C" w14:paraId="25F4EFE7" w14:textId="72779623">
      <w:pPr>
        <w:pStyle w:val="ssNoHeading1"/>
        <w:numPr>
          <w:ilvl w:val="0"/>
          <w:numId w:val="0"/>
        </w:numPr>
        <w:rPr>
          <w:color w:val="auto"/>
          <w:spacing w:val="-2"/>
          <w:u w:val="single"/>
          <w:shd w:val="clear" w:color="auto" w:fill="auto"/>
        </w:rPr>
      </w:pPr>
    </w:p>
    <w:sectPr w:rsidSect="00A54CA9">
      <w:headerReference w:type="even" r:id="rId9"/>
      <w:headerReference w:type="default" r:id="rId10"/>
      <w:footerReference w:type="default" r:id="rId11"/>
      <w:headerReference w:type="first" r:id="rId12"/>
      <w:footnotePr>
        <w:numFmt w:val="upperLetter"/>
      </w:footnotePr>
      <w:endnotePr>
        <w:numFmt w:val="decimal"/>
      </w:endnotePr>
      <w:pgSz w:w="11906" w:h="16838" w:code="9"/>
      <w:pgMar w:top="1418" w:right="1191" w:bottom="567" w:left="1191" w:header="567"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321B1" w:rsidP="002145F3" w14:paraId="2B6E16B0" w14:textId="77777777">
      <w:r>
        <w:separator/>
      </w:r>
    </w:p>
    <w:p w:rsidR="00A321B1" w14:paraId="39691D8D" w14:textId="77777777"/>
  </w:endnote>
  <w:endnote w:type="continuationSeparator" w:id="1">
    <w:p w:rsidR="00A321B1" w:rsidP="002145F3" w14:paraId="53D37D63" w14:textId="77777777">
      <w:r>
        <w:continuationSeparator/>
      </w:r>
    </w:p>
    <w:p w:rsidR="00A321B1" w14:paraId="737E2384" w14:textId="77777777"/>
  </w:endnote>
  <w:endnote w:id="2">
    <w:p w:rsidR="003A6040" w:rsidP="00AD5133" w14:paraId="2E846EBF" w14:textId="5AAA8D94">
      <w:pPr>
        <w:pStyle w:val="EndnoteText"/>
        <w:spacing w:before="60"/>
        <w:ind w:left="709" w:hanging="709"/>
        <w:rPr>
          <w:color w:val="auto"/>
          <w:shd w:val="clear" w:color="auto" w:fill="auto"/>
        </w:rPr>
      </w:pPr>
      <w:r>
        <w:rPr>
          <w:rStyle w:val="EndnoteReference"/>
        </w:rPr>
        <w:endnoteRef/>
      </w:r>
      <w:r>
        <w:tab/>
        <w:t>The name must include “long term asset fund” or “LTAF”. See COLL 15.3.3(2).</w:t>
      </w:r>
    </w:p>
  </w:endnote>
  <w:endnote w:id="3">
    <w:p w:rsidR="00634435" w:rsidP="00634435" w14:paraId="2DEA258C" w14:textId="77777777">
      <w:pPr>
        <w:pStyle w:val="EndnoteText"/>
        <w:spacing w:before="60"/>
        <w:ind w:left="709" w:hanging="709"/>
        <w:rPr>
          <w:color w:val="auto"/>
          <w:shd w:val="clear" w:color="auto" w:fill="auto"/>
        </w:rPr>
      </w:pPr>
      <w:r>
        <w:rPr>
          <w:rStyle w:val="EndnoteReference"/>
        </w:rPr>
        <w:endnoteRef/>
      </w:r>
      <w:r>
        <w:tab/>
        <w:t>Provisions within the instrument that refer to “Funds” will only be applicable where the ICVC is an umbrella company. References to “Funds” should therefore be deleted, amended to refer to “Company” or otherwise amended as the context requires.</w:t>
      </w:r>
    </w:p>
  </w:endnote>
  <w:endnote w:id="4">
    <w:p w:rsidR="00AE7836" w:rsidP="000F6F38" w14:paraId="281310FA" w14:textId="77777777">
      <w:pPr>
        <w:pStyle w:val="EndnoteText"/>
        <w:spacing w:before="60"/>
        <w:ind w:left="709" w:hanging="709"/>
        <w:rPr>
          <w:color w:val="auto"/>
          <w:shd w:val="clear" w:color="auto" w:fill="auto"/>
        </w:rPr>
      </w:pPr>
      <w:r>
        <w:rPr>
          <w:rStyle w:val="EndnoteReference"/>
        </w:rPr>
        <w:endnoteRef/>
      </w:r>
      <w:r>
        <w:tab/>
        <w:t>Delete if intermediate holding vehicle not to be used such that the defined term will not be used (see Part 1 to the Schedule).</w:t>
      </w:r>
    </w:p>
  </w:endnote>
  <w:endnote w:id="5">
    <w:p w:rsidR="00AE7836" w:rsidRPr="00730F62" w:rsidP="000F6F38" w14:paraId="0930FE0C" w14:textId="77777777">
      <w:pPr>
        <w:pStyle w:val="EndnoteText"/>
        <w:spacing w:before="60"/>
        <w:ind w:left="709" w:hanging="709"/>
        <w:rPr>
          <w:color w:val="auto"/>
          <w:shd w:val="clear" w:color="auto" w:fill="auto"/>
        </w:rPr>
      </w:pPr>
      <w:r w:rsidRPr="00190092">
        <w:rPr>
          <w:rStyle w:val="EndnoteReference"/>
          <w:szCs w:val="17"/>
        </w:rPr>
        <w:endnoteRef/>
      </w:r>
      <w:r>
        <w:tab/>
        <w:t>These regulations do not cover OEICs set up in Northern Ireland in respect of which other rules will apply and this definition should be amended accordingly.</w:t>
      </w:r>
    </w:p>
  </w:endnote>
  <w:endnote w:id="6">
    <w:p w:rsidR="00BF63B6" w:rsidP="000F6F38" w14:paraId="10D4E2B6" w14:textId="77777777">
      <w:pPr>
        <w:pStyle w:val="EndnoteText"/>
        <w:spacing w:before="60"/>
        <w:ind w:left="709" w:hanging="709"/>
        <w:rPr>
          <w:color w:val="auto"/>
          <w:shd w:val="clear" w:color="auto" w:fill="auto"/>
        </w:rPr>
      </w:pPr>
      <w:r>
        <w:rPr>
          <w:rStyle w:val="EndnoteReference"/>
        </w:rPr>
        <w:endnoteRef/>
      </w:r>
      <w:r>
        <w:tab/>
        <w:t>Delete definitions of Side Pocket Assets, Special Investment Class and Special Investment Shares if side pockets not to be used.</w:t>
      </w:r>
    </w:p>
  </w:endnote>
  <w:endnote w:id="7">
    <w:p w:rsidR="008170C5" w:rsidRPr="00730F62" w:rsidP="000F6F38" w14:paraId="041CADB3" w14:textId="32F6C963">
      <w:pPr>
        <w:pStyle w:val="EndnoteText"/>
        <w:spacing w:before="60"/>
        <w:ind w:left="709" w:hanging="709"/>
        <w:rPr>
          <w:color w:val="auto"/>
          <w:shd w:val="clear" w:color="auto" w:fill="auto"/>
        </w:rPr>
      </w:pPr>
      <w:r w:rsidRPr="00190092">
        <w:rPr>
          <w:rStyle w:val="EndnoteReference"/>
          <w:spacing w:val="-2"/>
          <w:szCs w:val="17"/>
        </w:rPr>
        <w:endnoteRef/>
      </w:r>
      <w:r>
        <w:tab/>
        <w:t xml:space="preserve">Those statements which cannot be amended once authorised - OEIC Regulations Schedule 2 para 5(1). (Strictly this does not include the second sentence in Clause </w:t>
      </w:r>
      <w:r>
        <w:fldChar w:fldCharType="begin"/>
      </w:r>
      <w:r>
        <w:instrText xml:space="preserve"> REF _Ref95174604 \w \h </w:instrText>
      </w:r>
      <w:r>
        <w:fldChar w:fldCharType="separate"/>
      </w:r>
      <w:r w:rsidR="000F52C1">
        <w:t>2.4</w:t>
      </w:r>
      <w:r>
        <w:fldChar w:fldCharType="end"/>
      </w:r>
      <w:r>
        <w:t>)</w:t>
      </w:r>
    </w:p>
  </w:endnote>
  <w:endnote w:id="8">
    <w:p w:rsidR="008170C5" w:rsidRPr="00730F62" w:rsidP="000F6F38" w14:paraId="0D5E74C0" w14:textId="7516C2DF">
      <w:pPr>
        <w:pStyle w:val="EndnoteText"/>
        <w:spacing w:before="60"/>
        <w:rPr>
          <w:color w:val="auto"/>
          <w:shd w:val="clear" w:color="auto" w:fill="auto"/>
        </w:rPr>
      </w:pPr>
      <w:r w:rsidRPr="00190092">
        <w:rPr>
          <w:rStyle w:val="EndnoteReference"/>
          <w:szCs w:val="17"/>
        </w:rPr>
        <w:endnoteRef/>
      </w:r>
      <w:r>
        <w:tab/>
        <w:t>See COLL 15.3.6 R 3(3).</w:t>
      </w:r>
    </w:p>
  </w:endnote>
  <w:endnote w:id="9">
    <w:p w:rsidR="008170C5" w:rsidRPr="00730F62" w:rsidP="000F6F38" w14:paraId="7BB19EA5" w14:textId="441D5DCE">
      <w:pPr>
        <w:pStyle w:val="EndnoteText"/>
        <w:spacing w:before="60"/>
        <w:ind w:left="709" w:hanging="709"/>
        <w:rPr>
          <w:color w:val="auto"/>
          <w:shd w:val="clear" w:color="auto" w:fill="auto"/>
        </w:rPr>
      </w:pPr>
      <w:r w:rsidRPr="00190092">
        <w:rPr>
          <w:rStyle w:val="EndnoteReference"/>
          <w:spacing w:val="-2"/>
          <w:szCs w:val="17"/>
        </w:rPr>
        <w:endnoteRef/>
      </w:r>
      <w:r>
        <w:tab/>
        <w:t>The remainder of the Instrument comprises statements and provisions which can be amended either with or without shareholder approval (depending upon their nature) - see OEIC Regulations Schedule 2 para. 5.</w:t>
      </w:r>
      <w:r w:rsidR="000F6F38">
        <w:t xml:space="preserve"> </w:t>
      </w:r>
      <w:r>
        <w:t>See also Preface para. 4.</w:t>
      </w:r>
    </w:p>
  </w:endnote>
  <w:endnote w:id="10">
    <w:p w:rsidR="008170C5" w:rsidRPr="00730F62" w:rsidP="000F6F38" w14:paraId="6CF29EAF" w14:textId="6A4A4A38">
      <w:pPr>
        <w:pStyle w:val="EndnoteText"/>
        <w:spacing w:before="60"/>
        <w:rPr>
          <w:color w:val="auto"/>
          <w:shd w:val="clear" w:color="auto" w:fill="auto"/>
        </w:rPr>
      </w:pPr>
      <w:r w:rsidRPr="00190092">
        <w:rPr>
          <w:rStyle w:val="EndnoteReference"/>
          <w:szCs w:val="17"/>
        </w:rPr>
        <w:endnoteRef/>
      </w:r>
      <w:r>
        <w:tab/>
        <w:t>See COLL 15.3.6 R 1(1).</w:t>
      </w:r>
    </w:p>
  </w:endnote>
  <w:endnote w:id="11">
    <w:p w:rsidR="008170C5" w:rsidRPr="00730F62" w:rsidP="000F6F38" w14:paraId="34DCAD69" w14:textId="3F0E414D">
      <w:pPr>
        <w:pStyle w:val="EndnoteText"/>
        <w:spacing w:before="60"/>
        <w:rPr>
          <w:color w:val="auto"/>
          <w:shd w:val="clear" w:color="auto" w:fill="auto"/>
        </w:rPr>
      </w:pPr>
      <w:r w:rsidRPr="00190092">
        <w:rPr>
          <w:rStyle w:val="EndnoteReference"/>
          <w:szCs w:val="17"/>
        </w:rPr>
        <w:endnoteRef/>
      </w:r>
      <w:r>
        <w:tab/>
        <w:t>See COLL 15.3.6 R 3(2).</w:t>
      </w:r>
    </w:p>
  </w:endnote>
  <w:endnote w:id="12">
    <w:p w:rsidR="008170C5" w:rsidP="000F6F38" w14:paraId="735ED5DD" w14:textId="6A752E10">
      <w:pPr>
        <w:pStyle w:val="EndnoteText"/>
        <w:spacing w:before="60"/>
        <w:ind w:left="709" w:hanging="709"/>
        <w:rPr>
          <w:color w:val="auto"/>
          <w:shd w:val="clear" w:color="auto" w:fill="auto"/>
        </w:rPr>
      </w:pPr>
      <w:r>
        <w:rPr>
          <w:rStyle w:val="EndnoteReference"/>
        </w:rPr>
        <w:endnoteRef/>
      </w:r>
      <w:r>
        <w:tab/>
        <w:t>The powers and duties of the ACD and Depositary must be set out in the instrument as per COLL 15.3.6 R 11. See also COLL 15.3.6 R 14.</w:t>
      </w:r>
    </w:p>
  </w:endnote>
  <w:endnote w:id="13">
    <w:p w:rsidR="008170C5" w:rsidRPr="00730F62" w:rsidP="000F6F38" w14:paraId="0E8B6438" w14:textId="20EC0396">
      <w:pPr>
        <w:pStyle w:val="EndnoteText"/>
        <w:spacing w:before="60"/>
        <w:rPr>
          <w:color w:val="auto"/>
          <w:shd w:val="clear" w:color="auto" w:fill="auto"/>
        </w:rPr>
      </w:pPr>
      <w:r w:rsidRPr="00F55806">
        <w:rPr>
          <w:rStyle w:val="EndnoteReference"/>
          <w:szCs w:val="17"/>
        </w:rPr>
        <w:endnoteRef/>
      </w:r>
      <w:r>
        <w:tab/>
        <w:t>See COLL 15.3.6 R 4.</w:t>
      </w:r>
    </w:p>
  </w:endnote>
  <w:endnote w:id="14">
    <w:p w:rsidR="008170C5" w:rsidP="000F6F38" w14:paraId="3FD58569" w14:textId="07180E25">
      <w:pPr>
        <w:pStyle w:val="EndnoteText"/>
        <w:spacing w:before="60"/>
        <w:ind w:left="709" w:hanging="709"/>
        <w:rPr>
          <w:color w:val="auto"/>
          <w:shd w:val="clear" w:color="auto" w:fill="auto"/>
        </w:rPr>
      </w:pPr>
      <w:r>
        <w:rPr>
          <w:rStyle w:val="EndnoteReference"/>
        </w:rPr>
        <w:endnoteRef/>
      </w:r>
      <w:r>
        <w:tab/>
        <w:t>This clause will be applicable only for an umbrella company and should be deleted where not required. See endnote 1.</w:t>
      </w:r>
    </w:p>
  </w:endnote>
  <w:endnote w:id="15">
    <w:p w:rsidR="008170C5" w:rsidRPr="00730F62" w:rsidP="000F6F38" w14:paraId="7D6BEA47" w14:textId="40E3572A">
      <w:pPr>
        <w:pStyle w:val="EndnoteText"/>
        <w:spacing w:before="60"/>
        <w:rPr>
          <w:color w:val="auto"/>
          <w:shd w:val="clear" w:color="auto" w:fill="auto"/>
        </w:rPr>
      </w:pPr>
      <w:r w:rsidRPr="00F55806">
        <w:rPr>
          <w:rStyle w:val="EndnoteReference"/>
          <w:szCs w:val="17"/>
        </w:rPr>
        <w:endnoteRef/>
      </w:r>
      <w:r>
        <w:tab/>
        <w:t>OEIC Regulations 11A(4).</w:t>
      </w:r>
    </w:p>
  </w:endnote>
  <w:endnote w:id="16">
    <w:p w:rsidR="008170C5" w:rsidP="000F6F38" w14:paraId="5895272F" w14:textId="7C99211A">
      <w:pPr>
        <w:pStyle w:val="EndnoteText"/>
        <w:spacing w:before="60"/>
        <w:rPr>
          <w:color w:val="auto"/>
          <w:shd w:val="clear" w:color="auto" w:fill="auto"/>
        </w:rPr>
      </w:pPr>
      <w:r>
        <w:rPr>
          <w:rStyle w:val="EndnoteReference"/>
        </w:rPr>
        <w:endnoteRef/>
      </w:r>
      <w:r>
        <w:tab/>
        <w:t>See COLL 15.3.6 R 9.</w:t>
      </w:r>
    </w:p>
  </w:endnote>
  <w:endnote w:id="17">
    <w:p w:rsidR="008170C5" w:rsidP="000F6F38" w14:paraId="2B55FC98" w14:textId="1997E25A">
      <w:pPr>
        <w:pStyle w:val="EndnoteText"/>
        <w:spacing w:before="60"/>
        <w:rPr>
          <w:color w:val="auto"/>
          <w:shd w:val="clear" w:color="auto" w:fill="auto"/>
        </w:rPr>
      </w:pPr>
      <w:r>
        <w:rPr>
          <w:rStyle w:val="EndnoteReference"/>
        </w:rPr>
        <w:endnoteRef/>
      </w:r>
      <w:r>
        <w:tab/>
        <w:t>See COLL 15.3.6 R 3(4)(a).</w:t>
      </w:r>
    </w:p>
  </w:endnote>
  <w:endnote w:id="18">
    <w:p w:rsidR="008170C5" w:rsidP="000F6F38" w14:paraId="5188A852" w14:textId="771D8212">
      <w:pPr>
        <w:pStyle w:val="EndnoteText"/>
        <w:spacing w:before="60"/>
        <w:ind w:left="709" w:hanging="709"/>
        <w:rPr>
          <w:color w:val="auto"/>
          <w:shd w:val="clear" w:color="auto" w:fill="auto"/>
        </w:rPr>
      </w:pPr>
      <w:r>
        <w:rPr>
          <w:rStyle w:val="EndnoteReference"/>
        </w:rPr>
        <w:endnoteRef/>
      </w:r>
      <w:r>
        <w:tab/>
        <w:t xml:space="preserve">This list is intended to allow all types of shares that may be launched in order to allow flexibility even if not all the classes listed will be launched at the outset, although note the flexibility provided for in Clause </w:t>
      </w:r>
      <w:r>
        <w:fldChar w:fldCharType="begin"/>
      </w:r>
      <w:r>
        <w:instrText xml:space="preserve"> REF _Ref95663418 \w \h </w:instrText>
      </w:r>
      <w:r>
        <w:fldChar w:fldCharType="separate"/>
      </w:r>
      <w:r w:rsidR="000F52C1">
        <w:t>12.5</w:t>
      </w:r>
      <w:r>
        <w:fldChar w:fldCharType="end"/>
      </w:r>
      <w:r>
        <w:t>.</w:t>
      </w:r>
    </w:p>
  </w:endnote>
  <w:endnote w:id="19">
    <w:p w:rsidR="00CC515D" w:rsidP="0011178A" w14:paraId="04640293" w14:textId="77777777">
      <w:pPr>
        <w:pStyle w:val="EndnoteText"/>
        <w:spacing w:before="60" w:line="276" w:lineRule="auto"/>
        <w:rPr>
          <w:color w:val="auto"/>
          <w:shd w:val="clear" w:color="auto" w:fill="auto"/>
        </w:rPr>
      </w:pPr>
      <w:r>
        <w:rPr>
          <w:rStyle w:val="EndnoteReference"/>
        </w:rPr>
        <w:endnoteRef/>
      </w:r>
      <w:r>
        <w:tab/>
        <w:t>Delete if side pockets not to be used.</w:t>
      </w:r>
    </w:p>
  </w:endnote>
  <w:endnote w:id="20">
    <w:p w:rsidR="008170C5" w:rsidP="00800003" w14:paraId="454F7BEE" w14:textId="4213D4B1">
      <w:pPr>
        <w:pStyle w:val="EndnoteText"/>
        <w:spacing w:after="60"/>
        <w:rPr>
          <w:color w:val="auto"/>
          <w:shd w:val="clear" w:color="auto" w:fill="auto"/>
        </w:rPr>
      </w:pPr>
      <w:r>
        <w:rPr>
          <w:rStyle w:val="EndnoteReference"/>
        </w:rPr>
        <w:endnoteRef/>
      </w:r>
      <w:r>
        <w:tab/>
        <w:t>See COLL 15.8.5 R(5).</w:t>
      </w:r>
    </w:p>
  </w:endnote>
  <w:endnote w:id="21">
    <w:p w:rsidR="00800003" w:rsidP="00800003" w14:paraId="49812C14" w14:textId="255EBEDC">
      <w:pPr>
        <w:pStyle w:val="EndnoteText"/>
        <w:spacing w:before="60" w:after="60"/>
        <w:rPr>
          <w:color w:val="auto"/>
          <w:shd w:val="clear" w:color="auto" w:fill="auto"/>
        </w:rPr>
      </w:pPr>
      <w:r>
        <w:rPr>
          <w:rStyle w:val="EndnoteReference"/>
        </w:rPr>
        <w:endnoteRef/>
      </w:r>
      <w:r>
        <w:t xml:space="preserve"> </w:t>
      </w:r>
      <w:r>
        <w:tab/>
        <w:t>See COLL 15.3.6 R(12)(1)</w:t>
      </w:r>
    </w:p>
  </w:endnote>
  <w:endnote w:id="22">
    <w:p w:rsidR="008170C5" w:rsidP="000F6F38" w14:paraId="56E878CE" w14:textId="77777777">
      <w:pPr>
        <w:pStyle w:val="EndnoteText"/>
        <w:spacing w:before="60"/>
        <w:rPr>
          <w:color w:val="auto"/>
          <w:shd w:val="clear" w:color="auto" w:fill="auto"/>
        </w:rPr>
      </w:pPr>
      <w:r>
        <w:rPr>
          <w:rStyle w:val="EndnoteReference"/>
        </w:rPr>
        <w:endnoteRef/>
      </w:r>
      <w:r>
        <w:tab/>
        <w:t>Delete if side pockets not to be used.</w:t>
      </w:r>
    </w:p>
  </w:endnote>
  <w:endnote w:id="23">
    <w:p w:rsidR="008170C5" w:rsidP="000F6F38" w14:paraId="7EE64D1E" w14:textId="60B002E5">
      <w:pPr>
        <w:pStyle w:val="EndnoteText"/>
        <w:spacing w:before="60"/>
        <w:ind w:left="709" w:hanging="709"/>
        <w:rPr>
          <w:color w:val="auto"/>
          <w:shd w:val="clear" w:color="auto" w:fill="auto"/>
        </w:rPr>
      </w:pPr>
      <w:r>
        <w:rPr>
          <w:rStyle w:val="EndnoteReference"/>
        </w:rPr>
        <w:endnoteRef/>
      </w:r>
      <w:r>
        <w:tab/>
        <w:t>This provision has been left brief with a view to the prospectus setting out the detail as to how switches will be done. Delete provision if not an umbrella fund.</w:t>
      </w:r>
      <w:r w:rsidR="000176ED">
        <w:t xml:space="preserve"> </w:t>
      </w:r>
      <w:r w:rsidR="00746780">
        <w:t xml:space="preserve">If the fund uses a </w:t>
      </w:r>
      <w:r w:rsidR="000176ED">
        <w:t>performance fee</w:t>
      </w:r>
      <w:r w:rsidR="00746780">
        <w:t xml:space="preserve"> consider whether </w:t>
      </w:r>
      <w:r w:rsidR="000176ED">
        <w:t xml:space="preserve">this provision could be amended to include in the non-exhaustive list of </w:t>
      </w:r>
      <w:r w:rsidR="00746780">
        <w:t xml:space="preserve">conditions </w:t>
      </w:r>
      <w:r w:rsidR="000176ED">
        <w:t xml:space="preserve"> to which the provision is subject that a switch may lead to </w:t>
      </w:r>
      <w:r w:rsidR="00746780">
        <w:t xml:space="preserve">crystallisation </w:t>
      </w:r>
      <w:r w:rsidR="000176ED">
        <w:t xml:space="preserve"> of a performance fee </w:t>
      </w:r>
      <w:r w:rsidR="00746780">
        <w:t xml:space="preserve">where one has </w:t>
      </w:r>
      <w:r w:rsidR="000176ED">
        <w:t xml:space="preserve"> been accrued but not crystallised at the point of the switch.</w:t>
      </w:r>
    </w:p>
  </w:endnote>
  <w:endnote w:id="24">
    <w:p w:rsidR="008170C5" w:rsidP="00800003" w14:paraId="6919D461" w14:textId="5672D539">
      <w:pPr>
        <w:pStyle w:val="EndnoteText"/>
        <w:spacing w:before="60"/>
        <w:ind w:left="709" w:hanging="709"/>
        <w:rPr>
          <w:color w:val="auto"/>
          <w:shd w:val="clear" w:color="auto" w:fill="auto"/>
        </w:rPr>
      </w:pPr>
      <w:r>
        <w:rPr>
          <w:rStyle w:val="EndnoteReference"/>
        </w:rPr>
        <w:endnoteRef/>
      </w:r>
      <w:r>
        <w:tab/>
        <w:t>This provision has been left brief with a view to the prospectus setting out the detail as to how conversions will be done.</w:t>
      </w:r>
      <w:r w:rsidR="000176ED">
        <w:t xml:space="preserve"> </w:t>
      </w:r>
      <w:r w:rsidR="00746780">
        <w:t xml:space="preserve">If  the fund uses a </w:t>
      </w:r>
      <w:r w:rsidR="000176ED">
        <w:t xml:space="preserve"> performance fee</w:t>
      </w:r>
      <w:r w:rsidR="00746780">
        <w:t xml:space="preserve"> consider whether </w:t>
      </w:r>
      <w:r w:rsidR="000176ED">
        <w:t xml:space="preserve"> this provision could be amended to include in the non-exhaustive list of</w:t>
      </w:r>
      <w:r w:rsidR="00746780">
        <w:t xml:space="preserve"> conditions</w:t>
      </w:r>
      <w:r w:rsidR="000176ED">
        <w:t xml:space="preserve"> to which the provision is subject that a conversion may lead to </w:t>
      </w:r>
      <w:r w:rsidR="00746780">
        <w:t xml:space="preserve">crystallisation </w:t>
      </w:r>
      <w:r w:rsidR="000176ED">
        <w:t>of a performance fee</w:t>
      </w:r>
      <w:r w:rsidR="00746780">
        <w:t xml:space="preserve"> where one has </w:t>
      </w:r>
      <w:r w:rsidR="000176ED">
        <w:t>been accrued but not crystallised at the point of the conversion.</w:t>
      </w:r>
    </w:p>
  </w:endnote>
  <w:endnote w:id="25">
    <w:p w:rsidR="008170C5" w:rsidP="000F6F38" w14:paraId="53276085" w14:textId="78017A66">
      <w:pPr>
        <w:pStyle w:val="EndnoteText"/>
        <w:spacing w:before="60"/>
        <w:rPr>
          <w:color w:val="auto"/>
          <w:shd w:val="clear" w:color="auto" w:fill="auto"/>
        </w:rPr>
      </w:pPr>
      <w:r>
        <w:rPr>
          <w:rStyle w:val="EndnoteReference"/>
        </w:rPr>
        <w:endnoteRef/>
      </w:r>
      <w:r>
        <w:tab/>
        <w:t>Delete if side pockets not to be used.</w:t>
      </w:r>
    </w:p>
  </w:endnote>
  <w:endnote w:id="26">
    <w:p w:rsidR="008170C5" w:rsidP="000F6F38" w14:paraId="04C2796C" w14:textId="578CD11A">
      <w:pPr>
        <w:pStyle w:val="EndnoteText"/>
        <w:spacing w:before="60"/>
        <w:rPr>
          <w:color w:val="auto"/>
          <w:shd w:val="clear" w:color="auto" w:fill="auto"/>
        </w:rPr>
      </w:pPr>
      <w:r>
        <w:rPr>
          <w:rStyle w:val="EndnoteReference"/>
        </w:rPr>
        <w:endnoteRef/>
      </w:r>
      <w:r>
        <w:tab/>
        <w:t>Required for PAIFs under COLL 15.3.6 R 2(3). Delete if not a PAIF.</w:t>
      </w:r>
    </w:p>
  </w:endnote>
  <w:endnote w:id="27">
    <w:p w:rsidR="008170C5" w:rsidRPr="00730F62" w:rsidP="000F6F38" w14:paraId="5F2DCC7C" w14:textId="3EE62597">
      <w:pPr>
        <w:pStyle w:val="EndnoteText"/>
        <w:spacing w:before="60"/>
        <w:ind w:left="709" w:hanging="709"/>
        <w:rPr>
          <w:color w:val="auto"/>
          <w:shd w:val="clear" w:color="auto" w:fill="auto"/>
        </w:rPr>
      </w:pPr>
      <w:r w:rsidRPr="00F55806">
        <w:rPr>
          <w:rStyle w:val="EndnoteReference"/>
          <w:szCs w:val="17"/>
        </w:rPr>
        <w:endnoteRef/>
      </w:r>
      <w:r>
        <w:tab/>
        <w:t>As non-certification has been assumed, the requirement for "substituted procedures for evidencing title to the company's shares" under OEIC Regulations Schedule 2 para 4(1)(i) and 47(3) has to be satisfied.</w:t>
      </w:r>
    </w:p>
  </w:endnote>
  <w:endnote w:id="28">
    <w:p w:rsidR="00C13F01" w:rsidP="00C13F01" w14:paraId="53603F7B" w14:textId="5A963A8F">
      <w:pPr>
        <w:pStyle w:val="EndnoteText"/>
        <w:spacing w:before="60"/>
        <w:ind w:left="709" w:hanging="709"/>
        <w:rPr>
          <w:color w:val="auto"/>
          <w:shd w:val="clear" w:color="auto" w:fill="auto"/>
        </w:rPr>
      </w:pPr>
      <w:r>
        <w:rPr>
          <w:rStyle w:val="EndnoteReference"/>
        </w:rPr>
        <w:endnoteRef/>
      </w:r>
      <w:r>
        <w:tab/>
      </w:r>
      <w:r w:rsidRPr="00C13F01">
        <w:t>OEIC Regulations 45(4) and Schedule 2 para 4(1)(f).  If different proportions are required for different share classes this would need to be provided for here.  COLL 3.2.6R 19.</w:t>
      </w:r>
    </w:p>
  </w:endnote>
  <w:endnote w:id="29">
    <w:p w:rsidR="008170C5" w:rsidRPr="00730F62" w:rsidP="000F6F38" w14:paraId="3A166233" w14:textId="1E3CE34E">
      <w:pPr>
        <w:pStyle w:val="EndnoteText"/>
        <w:spacing w:before="60"/>
        <w:rPr>
          <w:color w:val="auto"/>
          <w:shd w:val="clear" w:color="auto" w:fill="auto"/>
        </w:rPr>
      </w:pPr>
      <w:r w:rsidRPr="00F55806">
        <w:rPr>
          <w:rStyle w:val="EndnoteReference"/>
          <w:szCs w:val="17"/>
        </w:rPr>
        <w:endnoteRef/>
      </w:r>
      <w:r>
        <w:tab/>
        <w:t>See COLL 4.4.</w:t>
      </w:r>
    </w:p>
  </w:endnote>
  <w:endnote w:id="30">
    <w:p w:rsidR="008170C5" w:rsidP="000F6F38" w14:paraId="07C208B6" w14:textId="20E8EBD3">
      <w:pPr>
        <w:pStyle w:val="EndnoteText"/>
        <w:spacing w:before="60"/>
        <w:rPr>
          <w:color w:val="auto"/>
          <w:shd w:val="clear" w:color="auto" w:fill="auto"/>
        </w:rPr>
      </w:pPr>
      <w:r>
        <w:rPr>
          <w:rStyle w:val="EndnoteReference"/>
        </w:rPr>
        <w:endnoteRef/>
      </w:r>
      <w:r>
        <w:tab/>
        <w:t>Assumes that annual general meetings will not be held.</w:t>
      </w:r>
    </w:p>
  </w:endnote>
  <w:endnote w:id="31">
    <w:p w:rsidR="008170C5" w:rsidP="000F6F38" w14:paraId="53E63ABC" w14:textId="25D5895D">
      <w:pPr>
        <w:pStyle w:val="EndnoteText"/>
        <w:spacing w:before="60"/>
        <w:rPr>
          <w:color w:val="auto"/>
          <w:shd w:val="clear" w:color="auto" w:fill="auto"/>
        </w:rPr>
      </w:pPr>
      <w:r>
        <w:rPr>
          <w:rStyle w:val="EndnoteReference"/>
        </w:rPr>
        <w:endnoteRef/>
      </w:r>
      <w:r>
        <w:tab/>
        <w:t>See COLL 15.3.6 R 10.</w:t>
      </w:r>
    </w:p>
  </w:endnote>
  <w:endnote w:id="32">
    <w:p w:rsidR="008170C5" w:rsidRPr="00730F62" w:rsidP="000F6F38" w14:paraId="06372C28" w14:textId="0C0379CC">
      <w:pPr>
        <w:pStyle w:val="EndnoteText"/>
        <w:spacing w:before="60"/>
        <w:rPr>
          <w:color w:val="auto"/>
          <w:shd w:val="clear" w:color="auto" w:fill="auto"/>
        </w:rPr>
      </w:pPr>
      <w:r w:rsidRPr="00F55806">
        <w:rPr>
          <w:rStyle w:val="EndnoteReference"/>
          <w:szCs w:val="17"/>
        </w:rPr>
        <w:endnoteRef/>
      </w:r>
      <w:r>
        <w:tab/>
        <w:t>See COLL 15.3.6 R 3(3).</w:t>
      </w:r>
    </w:p>
  </w:endnote>
  <w:endnote w:id="33">
    <w:p w:rsidR="008170C5" w:rsidRPr="00730F62" w:rsidP="000F6F38" w14:paraId="2A199CFE" w14:textId="2DD4AAE5">
      <w:pPr>
        <w:pStyle w:val="EndnoteText"/>
        <w:spacing w:before="60"/>
        <w:rPr>
          <w:color w:val="auto"/>
          <w:shd w:val="clear" w:color="auto" w:fill="auto"/>
        </w:rPr>
      </w:pPr>
      <w:r w:rsidRPr="00190092">
        <w:rPr>
          <w:rStyle w:val="EndnoteReference"/>
          <w:szCs w:val="17"/>
        </w:rPr>
        <w:endnoteRef/>
      </w:r>
      <w:r>
        <w:tab/>
        <w:t>OEIC Regulations Schedule 2 para 3(1)(b).</w:t>
      </w:r>
    </w:p>
  </w:endnote>
  <w:endnote w:id="34">
    <w:p w:rsidR="008170C5" w:rsidRPr="00730F62" w:rsidP="000F6F38" w14:paraId="33A884A8" w14:textId="68A1B26C">
      <w:pPr>
        <w:pStyle w:val="EndnoteText"/>
        <w:spacing w:before="60"/>
        <w:ind w:left="709" w:hanging="709"/>
        <w:rPr>
          <w:color w:val="auto"/>
          <w:shd w:val="clear" w:color="auto" w:fill="auto"/>
        </w:rPr>
      </w:pPr>
      <w:r w:rsidRPr="00190092">
        <w:rPr>
          <w:rStyle w:val="EndnoteReference"/>
          <w:szCs w:val="17"/>
        </w:rPr>
        <w:endnoteRef/>
      </w:r>
      <w:r>
        <w:tab/>
        <w:t xml:space="preserve">See COLL 4.3 - Any proposed alteration to the instrument must be notified to </w:t>
      </w:r>
      <w:r>
        <w:rPr>
          <w:spacing w:val="-2"/>
        </w:rPr>
        <w:t>FCA</w:t>
      </w:r>
      <w:r>
        <w:t xml:space="preserve"> under OEIC Regulations 21(1)(a).</w:t>
      </w:r>
    </w:p>
  </w:endnote>
  <w:endnote w:id="35">
    <w:p w:rsidR="008170C5" w:rsidP="000F6F38" w14:paraId="0E92721F" w14:textId="2BDB974B">
      <w:pPr>
        <w:pStyle w:val="EndnoteText"/>
        <w:spacing w:before="60"/>
        <w:ind w:left="709" w:hanging="709"/>
        <w:rPr>
          <w:color w:val="auto"/>
          <w:shd w:val="clear" w:color="auto" w:fill="auto"/>
        </w:rPr>
      </w:pPr>
      <w:r>
        <w:rPr>
          <w:rStyle w:val="EndnoteReference"/>
        </w:rPr>
        <w:endnoteRef/>
      </w:r>
      <w:r>
        <w:tab/>
        <w:t>These clauses should be amended/omitted if there is to be no equalisation for the Company or any Fund.</w:t>
      </w:r>
    </w:p>
  </w:endnote>
  <w:endnote w:id="36">
    <w:p w:rsidR="008170C5" w:rsidP="000F6F38" w14:paraId="4460869B" w14:textId="63B6D769">
      <w:pPr>
        <w:pStyle w:val="EndnoteText"/>
        <w:spacing w:before="60"/>
        <w:rPr>
          <w:color w:val="auto"/>
          <w:shd w:val="clear" w:color="auto" w:fill="auto"/>
        </w:rPr>
      </w:pPr>
      <w:r>
        <w:rPr>
          <w:rStyle w:val="EndnoteReference"/>
        </w:rPr>
        <w:endnoteRef/>
      </w:r>
      <w:r>
        <w:tab/>
        <w:t>Insert person responsible as required under COLL 15.3.6 R 7.</w:t>
      </w:r>
    </w:p>
  </w:endnote>
  <w:endnote w:id="37">
    <w:p w:rsidR="00BF63B6" w:rsidP="000831ED" w14:paraId="6DA9F1F8" w14:textId="02ABFA18">
      <w:pPr>
        <w:pStyle w:val="EndnoteText"/>
        <w:spacing w:before="60"/>
        <w:ind w:left="709" w:hanging="709"/>
        <w:rPr>
          <w:color w:val="auto"/>
          <w:shd w:val="clear" w:color="auto" w:fill="auto"/>
        </w:rPr>
      </w:pPr>
      <w:r>
        <w:rPr>
          <w:rStyle w:val="EndnoteReference"/>
        </w:rPr>
        <w:endnoteRef/>
      </w:r>
      <w:r>
        <w:t xml:space="preserve"> </w:t>
      </w:r>
      <w:r w:rsidR="00AC51BD">
        <w:tab/>
        <w:t xml:space="preserve">Wording may be included in this </w:t>
      </w:r>
      <w:r w:rsidR="007B1904">
        <w:t>Clause</w:t>
      </w:r>
      <w:r w:rsidR="00AC51BD">
        <w:t xml:space="preserve"> to permit the ACD </w:t>
      </w:r>
      <w:r w:rsidR="00AC51BD">
        <w:rPr>
          <w:lang w:eastAsia="en-GB"/>
        </w:rPr>
        <w:t xml:space="preserve">to issue by way of a bonus and effect compulsory redemptions of Shares as necessary in connection with the calculation or payment of </w:t>
      </w:r>
      <w:r w:rsidR="00B33F36">
        <w:rPr>
          <w:lang w:eastAsia="en-GB"/>
        </w:rPr>
        <w:t>performance fees and</w:t>
      </w:r>
      <w:r w:rsidR="00AC51BD">
        <w:rPr>
          <w:lang w:eastAsia="en-GB"/>
        </w:rPr>
        <w:t xml:space="preserve"> to</w:t>
      </w:r>
      <w:r w:rsidR="00B33F36">
        <w:rPr>
          <w:lang w:eastAsia="en-GB"/>
        </w:rPr>
        <w:t xml:space="preserve"> otherwise</w:t>
      </w:r>
      <w:r w:rsidR="00AC51BD">
        <w:rPr>
          <w:lang w:eastAsia="en-GB"/>
        </w:rPr>
        <w:t xml:space="preserve"> give effect to </w:t>
      </w:r>
      <w:r w:rsidR="007B1904">
        <w:rPr>
          <w:lang w:eastAsia="en-GB"/>
        </w:rPr>
        <w:t>any</w:t>
      </w:r>
      <w:r w:rsidR="00AC51BD">
        <w:rPr>
          <w:lang w:eastAsia="en-GB"/>
        </w:rPr>
        <w:t xml:space="preserve"> </w:t>
      </w:r>
      <w:r w:rsidR="007B1904">
        <w:rPr>
          <w:lang w:eastAsia="en-GB"/>
        </w:rPr>
        <w:t>performance fee arrangements.</w:t>
      </w:r>
    </w:p>
  </w:endnote>
  <w:endnote w:id="38">
    <w:p w:rsidR="00990BD5" w:rsidP="00990BD5" w14:paraId="33AC8D07" w14:textId="4F90D89D">
      <w:pPr>
        <w:pStyle w:val="EndnoteText"/>
        <w:spacing w:before="60"/>
        <w:ind w:left="709" w:hanging="709"/>
        <w:rPr>
          <w:color w:val="auto"/>
          <w:shd w:val="clear" w:color="auto" w:fill="auto"/>
        </w:rPr>
      </w:pPr>
      <w:r>
        <w:rPr>
          <w:rStyle w:val="EndnoteReference"/>
        </w:rPr>
        <w:endnoteRef/>
      </w:r>
      <w:r>
        <w:tab/>
        <w:t xml:space="preserve">Consider including </w:t>
      </w:r>
      <w:r w:rsidR="00185C0C">
        <w:t xml:space="preserve">after this sub-clause </w:t>
      </w:r>
      <w:r>
        <w:t xml:space="preserve">the following statement that </w:t>
      </w:r>
      <w:r w:rsidR="00185C0C">
        <w:t xml:space="preserve">is not obligatory to include in the instrument, but which </w:t>
      </w:r>
      <w:r>
        <w:t xml:space="preserve">some managers </w:t>
      </w:r>
      <w:r w:rsidR="00185C0C">
        <w:t>elect</w:t>
      </w:r>
      <w:r>
        <w:t xml:space="preserve"> to include: “</w:t>
      </w:r>
      <w:r w:rsidRPr="00990BD5">
        <w:rPr>
          <w:i/>
          <w:iCs/>
        </w:rPr>
        <w:t>In accordance with the Regulations, the ACD shall make available to potential investors in the Company the required information set out in FUND 3.2.2 R before they invest in the Company, shall make available to potential investors and Shareholders any material change thereof, and shall make the required periodic discloses to Shareholders.</w:t>
      </w:r>
      <w:r>
        <w:t>”</w:t>
      </w:r>
    </w:p>
  </w:endnote>
  <w:endnote w:id="39">
    <w:p w:rsidR="008170C5" w:rsidRPr="00730F62" w:rsidP="000F6F38" w14:paraId="33349823" w14:textId="795E4107">
      <w:pPr>
        <w:pStyle w:val="EndnoteText"/>
        <w:spacing w:before="60"/>
        <w:ind w:left="709" w:hanging="709"/>
        <w:rPr>
          <w:color w:val="auto"/>
          <w:shd w:val="clear" w:color="auto" w:fill="auto"/>
        </w:rPr>
      </w:pPr>
      <w:r w:rsidRPr="00F55806">
        <w:rPr>
          <w:rStyle w:val="EndnoteReference"/>
          <w:szCs w:val="17"/>
        </w:rPr>
        <w:endnoteRef/>
      </w:r>
      <w:r>
        <w:tab/>
        <w:t xml:space="preserve">Clause </w:t>
      </w:r>
      <w:r>
        <w:fldChar w:fldCharType="begin"/>
      </w:r>
      <w:r>
        <w:instrText xml:space="preserve"> REF _Ref95656400 \r \h </w:instrText>
      </w:r>
      <w:r>
        <w:fldChar w:fldCharType="separate"/>
      </w:r>
      <w:r w:rsidR="000F52C1">
        <w:t>4</w:t>
      </w:r>
      <w:r>
        <w:fldChar w:fldCharType="end"/>
      </w:r>
      <w:r>
        <w:t xml:space="preserve"> will confirm if the scheme is to be wound up after a particular period expires – COLL 15.3.6R 3(2)</w:t>
      </w:r>
      <w:r>
        <w:rPr>
          <w:spacing w:val="-2"/>
        </w:rPr>
        <w:t xml:space="preserve">. Amend as necessary </w:t>
      </w:r>
      <w:r>
        <w:t>if not an umbrella</w:t>
      </w:r>
      <w:r>
        <w:rPr>
          <w:spacing w:val="-2"/>
        </w:rPr>
        <w:t>.</w:t>
      </w:r>
    </w:p>
  </w:endnote>
  <w:endnote w:id="40">
    <w:p w:rsidR="008170C5" w:rsidP="000F6F38" w14:paraId="655B1F3D" w14:textId="6756B893">
      <w:pPr>
        <w:pStyle w:val="EndnoteText"/>
        <w:spacing w:before="60"/>
        <w:ind w:left="709" w:hanging="709"/>
        <w:rPr>
          <w:color w:val="auto"/>
          <w:shd w:val="clear" w:color="auto" w:fill="auto"/>
        </w:rPr>
      </w:pPr>
      <w:r>
        <w:rPr>
          <w:rStyle w:val="EndnoteReference"/>
        </w:rPr>
        <w:endnoteRef/>
      </w:r>
      <w:r>
        <w:tab/>
        <w:t>This may not be relevant, but the ability to do so must be included in the constitutional document if liability is to be so discharged.</w:t>
      </w:r>
    </w:p>
  </w:endnote>
  <w:endnote w:id="41">
    <w:p w:rsidR="008170C5" w:rsidRPr="00730F62" w:rsidP="000F6F38" w14:paraId="447C53AE" w14:textId="053EE2BF">
      <w:pPr>
        <w:pStyle w:val="EndnoteText"/>
        <w:spacing w:before="60"/>
        <w:ind w:left="709" w:hanging="709"/>
        <w:rPr>
          <w:color w:val="auto"/>
          <w:shd w:val="clear" w:color="auto" w:fill="auto"/>
        </w:rPr>
      </w:pPr>
      <w:r>
        <w:rPr>
          <w:rStyle w:val="EndnoteReference"/>
        </w:rPr>
        <w:endnoteRef/>
      </w:r>
      <w:r>
        <w:tab/>
        <w:t xml:space="preserve">Consider deleting if not an umbrella and including the investment objective and related language (including, as relevant, that language in paragraphs 2 and 3 regarding PAIFs and use of intermediate holding vehicles) in place of the current Clause </w:t>
      </w:r>
      <w:r>
        <w:fldChar w:fldCharType="begin"/>
      </w:r>
      <w:r>
        <w:instrText xml:space="preserve"> REF _Ref95656448 \r \h </w:instrText>
      </w:r>
      <w:r>
        <w:fldChar w:fldCharType="separate"/>
      </w:r>
      <w:r w:rsidR="000F52C1">
        <w:t>9</w:t>
      </w:r>
      <w:r>
        <w:fldChar w:fldCharType="end"/>
      </w:r>
      <w:r>
        <w:t>.</w:t>
      </w:r>
    </w:p>
  </w:endnote>
  <w:endnote w:id="42">
    <w:p w:rsidR="003D392C" w:rsidP="00213722" w14:paraId="4D16C57E" w14:textId="0B9C7048">
      <w:pPr>
        <w:pStyle w:val="EndnoteText"/>
        <w:ind w:left="720" w:hanging="720"/>
        <w:rPr>
          <w:color w:val="auto"/>
          <w:shd w:val="clear" w:color="auto" w:fill="auto"/>
        </w:rPr>
      </w:pPr>
      <w:r>
        <w:rPr>
          <w:rStyle w:val="EndnoteReference"/>
        </w:rPr>
        <w:endnoteRef/>
      </w:r>
      <w:r>
        <w:t xml:space="preserve"> </w:t>
      </w:r>
      <w:r>
        <w:tab/>
        <w:t>COLL 15.3.6R(5) refers to a “statement…setting out the dealing frequency for sales and redemptions  of units in the scheme, and the applicable notice periods for redemptions.”</w:t>
      </w:r>
    </w:p>
  </w:endnote>
  <w:endnote w:id="43">
    <w:p w:rsidR="008170C5" w:rsidP="000F6F38" w14:paraId="3EFB363A" w14:textId="7E0E11F4">
      <w:pPr>
        <w:pStyle w:val="EndnoteText"/>
        <w:spacing w:before="60"/>
        <w:rPr>
          <w:color w:val="auto"/>
          <w:shd w:val="clear" w:color="auto" w:fill="auto"/>
        </w:rPr>
      </w:pPr>
      <w:r>
        <w:rPr>
          <w:rStyle w:val="EndnoteReference"/>
        </w:rPr>
        <w:endnoteRef/>
      </w:r>
      <w:r>
        <w:tab/>
        <w:t>These statements are required for PAIFs under COLL 15.3.6R 2(2). Delete if not a PAIF.</w:t>
      </w:r>
    </w:p>
  </w:endnote>
  <w:endnote w:id="44">
    <w:p w:rsidR="008170C5" w:rsidP="000F6F38" w14:paraId="1F9C03EB" w14:textId="12BB8C3B">
      <w:pPr>
        <w:pStyle w:val="EndnoteText"/>
        <w:spacing w:before="60"/>
        <w:rPr>
          <w:color w:val="auto"/>
          <w:shd w:val="clear" w:color="auto" w:fill="auto"/>
        </w:rPr>
      </w:pPr>
      <w:r>
        <w:rPr>
          <w:rStyle w:val="EndnoteReference"/>
        </w:rPr>
        <w:endnoteRef/>
      </w:r>
      <w:r>
        <w:tab/>
        <w:t>COLL 15.3.6R 13 and see the definition of intermediate holding vehicle.</w:t>
      </w:r>
    </w:p>
  </w:endnote>
  <w:endnote w:id="45">
    <w:p w:rsidR="008170C5" w:rsidP="000F6F38" w14:paraId="13A08C25" w14:textId="384D1A16">
      <w:pPr>
        <w:pStyle w:val="EndnoteText"/>
        <w:spacing w:before="60"/>
        <w:rPr>
          <w:color w:val="auto"/>
          <w:shd w:val="clear" w:color="auto" w:fill="auto"/>
        </w:rPr>
      </w:pPr>
      <w:r>
        <w:rPr>
          <w:rStyle w:val="EndnoteReference"/>
        </w:rPr>
        <w:endnoteRef/>
      </w:r>
      <w:r>
        <w:tab/>
        <w:t>Delete the heading. Delete the below provisions if a dual priced scheme.</w:t>
      </w:r>
    </w:p>
  </w:endnote>
  <w:endnote w:id="46">
    <w:p w:rsidR="00AE2847" w:rsidP="000831ED" w14:paraId="1BDE2902" w14:textId="0866C86A">
      <w:pPr>
        <w:pStyle w:val="EndnoteText"/>
        <w:spacing w:before="60"/>
        <w:ind w:left="709" w:hanging="709"/>
        <w:rPr>
          <w:color w:val="auto"/>
          <w:shd w:val="clear" w:color="auto" w:fill="auto"/>
        </w:rPr>
      </w:pPr>
      <w:r>
        <w:rPr>
          <w:rStyle w:val="EndnoteReference"/>
        </w:rPr>
        <w:endnoteRef/>
      </w:r>
      <w:r>
        <w:t xml:space="preserve"> </w:t>
      </w:r>
      <w:r>
        <w:tab/>
        <w:t>Part 2 of the Schedule to be tailored to reflect the assets held by the Company / Funds and the Valuation Policy of the ACD.</w:t>
      </w:r>
    </w:p>
  </w:endnote>
  <w:endnote w:id="47">
    <w:p w:rsidR="008170C5" w:rsidP="000F6F38" w14:paraId="3271B1AC" w14:textId="4B24875C">
      <w:pPr>
        <w:pStyle w:val="EndnoteText"/>
        <w:spacing w:before="60"/>
        <w:rPr>
          <w:color w:val="auto"/>
          <w:shd w:val="clear" w:color="auto" w:fill="auto"/>
        </w:rPr>
      </w:pPr>
      <w:r>
        <w:rPr>
          <w:rStyle w:val="EndnoteReference"/>
        </w:rPr>
        <w:endnoteRef/>
      </w:r>
      <w:r>
        <w:tab/>
        <w:t>Delete if side pockets not to be used.</w:t>
      </w:r>
    </w:p>
  </w:endnote>
  <w:endnote w:id="48">
    <w:p w:rsidR="008170C5" w:rsidRPr="00730F62" w:rsidP="000F6F38" w14:paraId="513C3754" w14:textId="45C32E29">
      <w:pPr>
        <w:pStyle w:val="EndnoteText"/>
        <w:spacing w:before="60"/>
        <w:ind w:left="709" w:hanging="709"/>
        <w:rPr>
          <w:color w:val="auto"/>
          <w:shd w:val="clear" w:color="auto" w:fill="auto"/>
        </w:rPr>
      </w:pPr>
      <w:r w:rsidRPr="00F55806">
        <w:rPr>
          <w:rStyle w:val="EndnoteReference"/>
          <w:szCs w:val="17"/>
        </w:rPr>
        <w:endnoteRef/>
      </w:r>
      <w:r>
        <w:tab/>
        <w:t>This wording could be included for LTAFs which invest in immovable property. See COLL 15.6.22 R(2)(b).</w:t>
      </w:r>
    </w:p>
  </w:endnote>
  <w:endnote w:id="49">
    <w:p w:rsidR="008170C5" w:rsidRPr="00730F62" w:rsidP="000F6F38" w14:paraId="0E235FAB" w14:textId="6BCEACCA">
      <w:pPr>
        <w:pStyle w:val="EndnoteText"/>
        <w:spacing w:before="60"/>
        <w:rPr>
          <w:color w:val="auto"/>
          <w:shd w:val="clear" w:color="auto" w:fill="auto"/>
        </w:rPr>
      </w:pPr>
      <w:r w:rsidRPr="00F55806">
        <w:rPr>
          <w:rStyle w:val="EndnoteReference"/>
          <w:szCs w:val="17"/>
        </w:rPr>
        <w:endnoteRef/>
      </w:r>
      <w:r>
        <w:tab/>
        <w:t>See COLL 15.6.14 R</w:t>
      </w:r>
    </w:p>
  </w:endnote>
  <w:endnote w:id="50">
    <w:p w:rsidR="008170C5" w:rsidP="000F6F38" w14:paraId="7E19E7E7" w14:textId="72C7AFAD">
      <w:pPr>
        <w:pStyle w:val="EndnoteText"/>
        <w:spacing w:before="60"/>
        <w:rPr>
          <w:color w:val="auto"/>
          <w:shd w:val="clear" w:color="auto" w:fill="auto"/>
        </w:rPr>
      </w:pPr>
      <w:r>
        <w:rPr>
          <w:rStyle w:val="EndnoteReference"/>
        </w:rPr>
        <w:endnoteRef/>
      </w:r>
      <w:r>
        <w:tab/>
        <w:t>Delete if not an umbrella.</w:t>
      </w:r>
    </w:p>
  </w:endnote>
  <w:endnote w:id="51">
    <w:p w:rsidR="008170C5" w:rsidP="000F6F38" w14:paraId="6BFCEDF2" w14:textId="204E7650">
      <w:pPr>
        <w:pStyle w:val="EndnoteText"/>
        <w:spacing w:before="60"/>
        <w:rPr>
          <w:color w:val="auto"/>
          <w:shd w:val="clear" w:color="auto" w:fill="auto"/>
        </w:rPr>
      </w:pPr>
      <w:r>
        <w:rPr>
          <w:rStyle w:val="EndnoteReference"/>
        </w:rPr>
        <w:endnoteRef/>
      </w:r>
      <w:r>
        <w:tab/>
        <w:t>Delete the heading. Delete the below provisions if a single priced scheme.</w:t>
      </w:r>
    </w:p>
  </w:endnote>
  <w:endnote w:id="52">
    <w:p w:rsidR="008170C5" w:rsidP="000F6F38" w14:paraId="26433735" w14:textId="77777777">
      <w:pPr>
        <w:pStyle w:val="EndnoteText"/>
        <w:spacing w:before="60"/>
        <w:rPr>
          <w:color w:val="auto"/>
          <w:shd w:val="clear" w:color="auto" w:fill="auto"/>
        </w:rPr>
      </w:pPr>
      <w:r>
        <w:rPr>
          <w:rStyle w:val="EndnoteReference"/>
        </w:rPr>
        <w:endnoteRef/>
      </w:r>
      <w:r>
        <w:tab/>
        <w:t>Delete if side pockets not to be used.</w:t>
      </w:r>
    </w:p>
  </w:endnote>
  <w:endnote w:id="53">
    <w:p w:rsidR="008170C5" w:rsidRPr="00730F62" w:rsidP="000F6F38" w14:paraId="063D8CD3" w14:textId="71AB6812">
      <w:pPr>
        <w:pStyle w:val="EndnoteText"/>
        <w:spacing w:before="60"/>
        <w:ind w:left="709" w:hanging="709"/>
        <w:rPr>
          <w:color w:val="auto"/>
          <w:shd w:val="clear" w:color="auto" w:fill="auto"/>
        </w:rPr>
      </w:pPr>
      <w:r w:rsidRPr="00F55806">
        <w:rPr>
          <w:rStyle w:val="EndnoteReference"/>
          <w:szCs w:val="17"/>
        </w:rPr>
        <w:endnoteRef/>
      </w:r>
      <w:r>
        <w:tab/>
        <w:t>This wording could be included for LTAFs which invest in immovable property. See COLL 15.6.22 R(2)(b).</w:t>
      </w:r>
    </w:p>
  </w:endnote>
  <w:endnote w:id="54">
    <w:p w:rsidR="008170C5" w:rsidRPr="00730F62" w:rsidP="000F6F38" w14:paraId="0250334D" w14:textId="57C46DDA">
      <w:pPr>
        <w:pStyle w:val="EndnoteText"/>
        <w:spacing w:before="60"/>
        <w:rPr>
          <w:color w:val="auto"/>
          <w:shd w:val="clear" w:color="auto" w:fill="auto"/>
        </w:rPr>
      </w:pPr>
      <w:r w:rsidRPr="00F55806">
        <w:rPr>
          <w:rStyle w:val="EndnoteReference"/>
          <w:szCs w:val="17"/>
        </w:rPr>
        <w:endnoteRef/>
      </w:r>
      <w:r>
        <w:tab/>
        <w:t>See COLL 15.6.14 R.</w:t>
      </w:r>
    </w:p>
  </w:endnote>
  <w:endnote w:id="55">
    <w:p w:rsidR="008170C5" w:rsidRPr="00730F62" w:rsidP="000F6F38" w14:paraId="59CCD0BC" w14:textId="25B73304">
      <w:pPr>
        <w:pStyle w:val="EndnoteText"/>
        <w:spacing w:before="60"/>
        <w:ind w:left="709" w:hanging="709"/>
        <w:rPr>
          <w:color w:val="auto"/>
          <w:shd w:val="clear" w:color="auto" w:fill="auto"/>
        </w:rPr>
      </w:pPr>
      <w:r w:rsidRPr="00F55806">
        <w:rPr>
          <w:rStyle w:val="EndnoteReference"/>
          <w:szCs w:val="17"/>
        </w:rPr>
        <w:endnoteRef/>
      </w:r>
      <w:r>
        <w:tab/>
        <w:t>This wording could be included for LTAFs which invest in immovable property. See COLL 15.6.22 R(2)(b).</w:t>
      </w:r>
    </w:p>
  </w:endnote>
  <w:endnote w:id="56">
    <w:p w:rsidR="008170C5" w:rsidRPr="00730F62" w:rsidP="000F6F38" w14:paraId="2170AC3F" w14:textId="002CECBC">
      <w:pPr>
        <w:pStyle w:val="EndnoteText"/>
        <w:spacing w:before="60"/>
        <w:rPr>
          <w:color w:val="auto"/>
          <w:shd w:val="clear" w:color="auto" w:fill="auto"/>
        </w:rPr>
      </w:pPr>
      <w:r w:rsidRPr="00F55806">
        <w:rPr>
          <w:rStyle w:val="EndnoteReference"/>
          <w:szCs w:val="17"/>
        </w:rPr>
        <w:endnoteRef/>
      </w:r>
      <w:r>
        <w:tab/>
        <w:t>See COLL 15.6.14 R.</w:t>
      </w:r>
    </w:p>
  </w:endnote>
  <w:endnote w:id="57">
    <w:p w:rsidR="008170C5" w:rsidRPr="00730F62" w:rsidP="000F6F38" w14:paraId="7A8C9F3C" w14:textId="08CE6A17">
      <w:pPr>
        <w:pStyle w:val="EndnoteText"/>
        <w:spacing w:before="60"/>
        <w:rPr>
          <w:color w:val="auto"/>
          <w:shd w:val="clear" w:color="auto" w:fill="auto"/>
        </w:rPr>
      </w:pPr>
      <w:r w:rsidRPr="00F55806">
        <w:rPr>
          <w:rStyle w:val="EndnoteReference"/>
          <w:szCs w:val="17"/>
        </w:rPr>
        <w:endnoteRef/>
      </w:r>
      <w:r>
        <w:tab/>
        <w:t>This wording may be included to match the methodology used for single priced schemes.</w:t>
      </w:r>
    </w:p>
  </w:endnote>
  <w:endnote w:id="58">
    <w:p w:rsidR="008170C5" w:rsidP="000F6F38" w14:paraId="7FC5C365" w14:textId="56829853">
      <w:pPr>
        <w:pStyle w:val="EndnoteText"/>
        <w:spacing w:before="60"/>
        <w:rPr>
          <w:color w:val="auto"/>
          <w:shd w:val="clear" w:color="auto" w:fill="auto"/>
        </w:rPr>
      </w:pPr>
      <w:r>
        <w:rPr>
          <w:rStyle w:val="EndnoteReference"/>
        </w:rPr>
        <w:endnoteRef/>
      </w:r>
      <w:r>
        <w:tab/>
        <w:t>Amend Part 3 throughout if not an umbrella.</w:t>
      </w:r>
    </w:p>
  </w:endnote>
  <w:endnote w:id="59">
    <w:p w:rsidR="006D5C5D" w:rsidP="006D5C5D" w14:paraId="169332E8" w14:textId="19DC2375">
      <w:pPr>
        <w:pStyle w:val="EndnoteText"/>
        <w:spacing w:before="60"/>
        <w:rPr>
          <w:color w:val="auto"/>
          <w:shd w:val="clear" w:color="auto" w:fill="auto"/>
        </w:rPr>
      </w:pPr>
      <w:r>
        <w:rPr>
          <w:rStyle w:val="EndnoteReference"/>
        </w:rPr>
        <w:endnoteRef/>
      </w:r>
      <w:r>
        <w:tab/>
        <w:t>Delete if side pockets not to be used.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3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Real Text Light">
    <w:altName w:val="Calibri"/>
    <w:panose1 w:val="020B0504020101010102"/>
    <w:charset w:val="00"/>
    <w:family w:val="swiss"/>
    <w:notTrueType/>
    <w:pitch w:val="variable"/>
    <w:sig w:usb0="A00000FF" w:usb1="4000E47B" w:usb2="00000000" w:usb3="00000000" w:csb0="00000093" w:csb1="00000000"/>
  </w:font>
  <w:font w:name="Cairo">
    <w:panose1 w:val="00000500000000000000"/>
    <w:charset w:val="00"/>
    <w:family w:val="auto"/>
    <w:pitch w:val="variable"/>
    <w:sig w:usb0="00002007" w:usb1="00000001" w:usb2="00000008" w:usb3="00000000" w:csb0="000000D3"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70C5" w:rsidP="0061692D" w14:paraId="339D9CCC" w14:textId="77777777">
    <w:pPr>
      <w:pStyle w:val="Footer"/>
      <w:rPr>
        <w:rFonts w:eastAsia="MingLiU" w:cs="Times New Roman"/>
        <w:color w:val="auto"/>
        <w:shd w:val="clear" w:color="auto" w:fill="auto"/>
        <w:lang w:eastAsia="en-GB"/>
      </w:rPr>
    </w:pPr>
  </w:p>
  <w:tbl>
    <w:tblPr>
      <w:tblStyle w:val="TableGrid"/>
      <w:tblW w:w="0" w:type="auto"/>
      <w:tblLayout w:type="fixed"/>
      <w:tblCellMar>
        <w:left w:w="0" w:type="dxa"/>
        <w:right w:w="0" w:type="dxa"/>
      </w:tblCellMar>
      <w:tblLook w:val="04A0"/>
    </w:tblPr>
    <w:tblGrid>
      <w:gridCol w:w="3174"/>
      <w:gridCol w:w="3175"/>
      <w:gridCol w:w="3175"/>
    </w:tblGrid>
    <w:tr w14:paraId="33CB2330" w14:textId="77777777" w:rsidTr="009A03E6">
      <w:tblPrEx>
        <w:tblW w:w="0" w:type="auto"/>
        <w:tblLayout w:type="fixed"/>
        <w:tblCellMar>
          <w:left w:w="0" w:type="dxa"/>
          <w:right w:w="0" w:type="dxa"/>
        </w:tblCellMar>
        <w:tblLook w:val="04A0"/>
      </w:tblPrEx>
      <w:tc>
        <w:tcPr>
          <w:tcW w:w="3174" w:type="dxa"/>
        </w:tcPr>
        <w:p w:rsidR="008170C5" w14:paraId="325A3BBC" w14:textId="0CB6823D">
          <w:pPr>
            <w:rPr>
              <w:color w:val="auto"/>
              <w:shd w:val="clear" w:color="auto" w:fill="auto"/>
            </w:rPr>
          </w:pPr>
        </w:p>
        <w:p w:rsidR="008170C5" w:rsidP="009A03E6" w14:paraId="2150806F" w14:textId="0F5E78B5">
          <w:pPr>
            <w:pStyle w:val="Footer"/>
            <w:tabs>
              <w:tab w:val="left" w:pos="2385"/>
              <w:tab w:val="clear" w:pos="4763"/>
              <w:tab w:val="clear" w:pos="9497"/>
            </w:tabs>
            <w:rPr>
              <w:rFonts w:eastAsia="MingLiU" w:cs="Times New Roman"/>
              <w:color w:val="auto"/>
              <w:shd w:val="clear" w:color="auto" w:fill="auto"/>
              <w:lang w:eastAsia="en-GB"/>
            </w:rPr>
          </w:pPr>
        </w:p>
      </w:tc>
      <w:tc>
        <w:tcPr>
          <w:tcW w:w="3175" w:type="dxa"/>
        </w:tcPr>
        <w:p w:rsidR="008170C5" w:rsidP="0061692D" w14:paraId="285BE96F" w14:textId="77777777">
          <w:pPr>
            <w:pStyle w:val="Footer"/>
            <w:jc w:val="center"/>
            <w:rPr>
              <w:rFonts w:eastAsia="MingLiU" w:cs="Times New Roman"/>
              <w:color w:val="auto"/>
              <w:shd w:val="clear" w:color="auto" w:fill="auto"/>
              <w:lang w:eastAsia="en-GB"/>
            </w:rP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i</w:t>
          </w:r>
          <w:r>
            <w:rPr>
              <w:rStyle w:val="PageNumber"/>
              <w:rFonts w:cs="Times New Roman"/>
            </w:rPr>
            <w:fldChar w:fldCharType="end"/>
          </w:r>
        </w:p>
      </w:tc>
      <w:tc>
        <w:tcPr>
          <w:tcW w:w="3175" w:type="dxa"/>
        </w:tcPr>
        <w:p w:rsidR="008170C5" w:rsidP="0061692D" w14:paraId="69170942" w14:textId="2D134DAE">
          <w:pPr>
            <w:pStyle w:val="Footer"/>
            <w:jc w:val="right"/>
            <w:rPr>
              <w:rFonts w:eastAsia="MingLiU" w:cs="Times New Roman"/>
              <w:color w:val="auto"/>
              <w:shd w:val="clear" w:color="auto" w:fill="auto"/>
              <w:lang w:eastAsia="en-GB"/>
            </w:rPr>
          </w:pPr>
        </w:p>
      </w:tc>
    </w:tr>
  </w:tbl>
  <w:p w:rsidR="008170C5" w:rsidRPr="00EE5B09" w14:paraId="1311A5BB" w14:textId="77777777">
    <w:pPr>
      <w:rPr>
        <w:color w:val="auto"/>
        <w:sz w:val="2"/>
        <w:szCs w:val="2"/>
        <w:shd w:val="clear" w:color="auto" w:fil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70C5" w:rsidP="00EF6938" w14:paraId="2261E948" w14:textId="77777777">
    <w:pPr>
      <w:pStyle w:val="Footer"/>
      <w:rPr>
        <w:rFonts w:eastAsia="MingLiU" w:cs="Times New Roman"/>
        <w:color w:val="auto"/>
        <w:shd w:val="clear" w:color="auto" w:fill="auto"/>
        <w:lang w:eastAsia="en-GB"/>
      </w:rPr>
    </w:pPr>
  </w:p>
  <w:tbl>
    <w:tblPr>
      <w:tblStyle w:val="TableGrid"/>
      <w:tblW w:w="5000" w:type="pct"/>
      <w:tblCellMar>
        <w:left w:w="0" w:type="dxa"/>
        <w:right w:w="0" w:type="dxa"/>
      </w:tblCellMar>
      <w:tblLook w:val="04A0"/>
    </w:tblPr>
    <w:tblGrid>
      <w:gridCol w:w="3174"/>
      <w:gridCol w:w="3175"/>
      <w:gridCol w:w="3175"/>
    </w:tblGrid>
    <w:tr w14:paraId="4B69B655" w14:textId="77777777" w:rsidTr="00A54CA9">
      <w:tblPrEx>
        <w:tblW w:w="5000" w:type="pct"/>
        <w:tblCellMar>
          <w:left w:w="0" w:type="dxa"/>
          <w:right w:w="0" w:type="dxa"/>
        </w:tblCellMar>
        <w:tblLook w:val="04A0"/>
      </w:tblPrEx>
      <w:tc>
        <w:tcPr>
          <w:tcW w:w="1666" w:type="pct"/>
        </w:tcPr>
        <w:p w:rsidR="008170C5" w:rsidRPr="006C062E" w:rsidP="00EF6938" w14:paraId="213F21BC" w14:textId="6BC6E792">
          <w:pPr>
            <w:pStyle w:val="Footer"/>
            <w:rPr>
              <w:rFonts w:eastAsia="MingLiU" w:cs="Times New Roman"/>
              <w:color w:val="auto"/>
              <w:sz w:val="14"/>
              <w:szCs w:val="14"/>
              <w:shd w:val="clear" w:color="auto" w:fill="auto"/>
              <w:lang w:eastAsia="en-GB"/>
            </w:rPr>
          </w:pPr>
        </w:p>
      </w:tc>
      <w:tc>
        <w:tcPr>
          <w:tcW w:w="1667" w:type="pct"/>
        </w:tcPr>
        <w:p w:rsidR="008170C5" w:rsidP="00611570" w14:paraId="0DFDF414" w14:textId="77777777">
          <w:pPr>
            <w:pStyle w:val="Footer"/>
            <w:jc w:val="center"/>
            <w:rPr>
              <w:rFonts w:eastAsia="MingLiU" w:cs="Times New Roman"/>
              <w:color w:val="auto"/>
              <w:shd w:val="clear" w:color="auto" w:fill="auto"/>
              <w:lang w:eastAsia="en-GB"/>
            </w:rP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1</w:t>
          </w:r>
          <w:r>
            <w:rPr>
              <w:rStyle w:val="PageNumber"/>
              <w:rFonts w:cs="Times New Roman"/>
            </w:rPr>
            <w:fldChar w:fldCharType="end"/>
          </w:r>
        </w:p>
      </w:tc>
      <w:tc>
        <w:tcPr>
          <w:tcW w:w="1667" w:type="pct"/>
        </w:tcPr>
        <w:sdt>
          <w:sdtPr>
            <w:rPr>
              <w:sz w:val="14"/>
              <w:szCs w:val="22"/>
            </w:rPr>
            <w:alias w:val="Outline Content"/>
            <w:tag w:val="55964AF9A1404135A7DF427CBBBA4C3B"/>
            <w:id w:val="313460652"/>
            <w:placeholder>
              <w:docPart w:val="170E853D9DB943BC8D738FC7BCF0D64C"/>
            </w:placeholder>
            <w:showingPlcHdr/>
            <w:richText/>
          </w:sdtPr>
          <w:sdtContent>
            <w:p w:rsidR="008170C5" w:rsidP="00C45B94" w14:paraId="62896161" w14:textId="71DC2A3E">
              <w:pPr>
                <w:pStyle w:val="Footer"/>
                <w:jc w:val="center"/>
                <w:rPr>
                  <w:rFonts w:eastAsia="MingLiU" w:cs="Times New Roman"/>
                  <w:color w:val="auto"/>
                  <w:shd w:val="clear" w:color="auto" w:fill="auto"/>
                  <w:lang w:eastAsia="en-GB"/>
                </w:rPr>
              </w:pPr>
            </w:p>
          </w:sdtContent>
        </w:sdt>
      </w:tc>
    </w:tr>
  </w:tbl>
  <w:p w:rsidR="008170C5" w:rsidRPr="00611570" w:rsidP="00C45B94" w14:paraId="3184AA87" w14:textId="77777777">
    <w:pPr>
      <w:pStyle w:val="Footer"/>
      <w:spacing w:line="240" w:lineRule="auto"/>
      <w:rPr>
        <w:rFonts w:eastAsia="MingLiU" w:cs="Times New Roman"/>
        <w:color w:val="auto"/>
        <w:sz w:val="2"/>
        <w:szCs w:val="4"/>
        <w:shd w:val="clear" w:color="auto" w:fill="auto"/>
        <w:lang w:eastAsia="en-G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5DC2" w14:paraId="6691409A" w14:textId="2907A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70C5" w:rsidRPr="00900F8A" w14:paraId="6AF48BEE" w14:textId="268A36DD">
    <w:pPr>
      <w:pStyle w:val="Header"/>
      <w:rPr>
        <w:b/>
        <w:bCs/>
        <w:color w:val="auto"/>
        <w:shd w:val="clear" w:color="auto" w:fill="auto"/>
      </w:rPr>
    </w:pPr>
    <w:r>
      <w:rPr>
        <w:b/>
        <w:bCs/>
      </w:rPr>
      <w:t>November</w:t>
    </w:r>
    <w:r w:rsidR="00793E92">
      <w:rPr>
        <w:b/>
        <w:bCs/>
      </w:rPr>
      <w:t xml:space="preserve">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5DC2" w14:paraId="173BD091" w14:textId="4AA7F8FC">
    <w:pPr>
      <w:pStyle w:val="Header"/>
      <w:rPr>
        <w:color w:val="auto"/>
        <w:shd w:val="clear" w:color="auto" w:fil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4FF" w14:paraId="2B9011C8" w14:textId="62D7A83A">
    <w:pPr>
      <w:pStyle w:val="Header"/>
      <w:rPr>
        <w:color w:val="auto"/>
        <w:shd w:val="clear" w:color="auto" w:fill="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4FF" w14:paraId="38C7F560" w14:textId="065DAEF0">
    <w:pPr>
      <w:pStyle w:val="Header"/>
      <w:rPr>
        <w:color w:val="auto"/>
        <w:shd w:val="clear" w:color="auto" w:fil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4FF" w14:paraId="2C36E7E8" w14:textId="1F678EA2">
    <w:pPr>
      <w:pStyle w:val="Header"/>
      <w:rPr>
        <w:color w:val="auto"/>
        <w:shd w:val="clear" w:color="auto" w:fil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CE88AB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27ACB6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6B8B2D6"/>
    <w:lvl w:ilvl="0">
      <w:start w:val="1"/>
      <w:numFmt w:val="decimal"/>
      <w:pStyle w:val="ListNumber3"/>
      <w:lvlText w:val="%1."/>
      <w:lvlJc w:val="left"/>
      <w:pPr>
        <w:tabs>
          <w:tab w:val="num" w:pos="926"/>
        </w:tabs>
        <w:ind w:left="926" w:hanging="360"/>
      </w:pPr>
    </w:lvl>
  </w:abstractNum>
  <w:abstractNum w:abstractNumId="3">
    <w:nsid w:val="FFFFFF7F"/>
    <w:multiLevelType w:val="singleLevel"/>
    <w:tmpl w:val="3F4A6BA6"/>
    <w:lvl w:ilvl="0">
      <w:start w:val="1"/>
      <w:numFmt w:val="decimal"/>
      <w:pStyle w:val="ListNumber2"/>
      <w:lvlText w:val="%1."/>
      <w:lvlJc w:val="left"/>
      <w:pPr>
        <w:tabs>
          <w:tab w:val="num" w:pos="643"/>
        </w:tabs>
        <w:ind w:left="643" w:hanging="360"/>
      </w:pPr>
    </w:lvl>
  </w:abstractNum>
  <w:abstractNum w:abstractNumId="4">
    <w:nsid w:val="FFFFFF80"/>
    <w:multiLevelType w:val="singleLevel"/>
    <w:tmpl w:val="6E6A3F0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1F6510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312126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9F046D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1A0F866"/>
    <w:lvl w:ilvl="0">
      <w:start w:val="1"/>
      <w:numFmt w:val="decimal"/>
      <w:pStyle w:val="ListNumber"/>
      <w:lvlText w:val="%1."/>
      <w:lvlJc w:val="left"/>
      <w:pPr>
        <w:tabs>
          <w:tab w:val="num" w:pos="360"/>
        </w:tabs>
        <w:ind w:left="360" w:hanging="360"/>
      </w:pPr>
    </w:lvl>
  </w:abstractNum>
  <w:abstractNum w:abstractNumId="9">
    <w:nsid w:val="FFFFFF89"/>
    <w:multiLevelType w:val="singleLevel"/>
    <w:tmpl w:val="836EA62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A4510"/>
    <w:multiLevelType w:val="multilevel"/>
    <w:tmpl w:val="8C82F858"/>
    <w:name w:val="Parties"/>
    <w:lvl w:ilvl="0">
      <w:start w:val="1"/>
      <w:numFmt w:val="decimal"/>
      <w:lvlText w:val="(%1)"/>
      <w:lvlJc w:val="left"/>
      <w:pPr>
        <w:tabs>
          <w:tab w:val="num" w:pos="709"/>
        </w:tabs>
        <w:ind w:left="709" w:hanging="709"/>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1">
    <w:nsid w:val="06645AB1"/>
    <w:multiLevelType w:val="multilevel"/>
    <w:tmpl w:val="A5F65242"/>
    <w:numStyleLink w:val="NumParties"/>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2">
    <w:nsid w:val="08555256"/>
    <w:multiLevelType w:val="multilevel"/>
    <w:tmpl w:val="ECD8DD3E"/>
    <w:lvl w:ilvl="0">
      <w:start w:val="1"/>
      <w:numFmt w:val="decimal"/>
      <w:pStyle w:val="ssq4"/>
      <w:suff w:val="nothing"/>
      <w:lvlText w:val="مبرز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3">
    <w:nsid w:val="0BAE4F59"/>
    <w:multiLevelType w:val="multilevel"/>
    <w:tmpl w:val="576C219E"/>
    <w:lvl w:ilvl="0">
      <w:start w:val="1"/>
      <w:numFmt w:val="none"/>
      <w:pStyle w:val="ssRestartAppendix"/>
      <w:suff w:val="nothing"/>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C560284"/>
    <w:multiLevelType w:val="multilevel"/>
    <w:tmpl w:val="FD484C7C"/>
    <w:numStyleLink w:val="NumRecitals"/>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5">
    <w:nsid w:val="0C69430A"/>
    <w:multiLevelType w:val="multilevel"/>
    <w:tmpl w:val="BCA6C5F4"/>
    <w:lvl w:ilvl="0">
      <w:start w:val="1"/>
      <w:numFmt w:val="decimal"/>
      <w:pStyle w:val="ssqListe"/>
      <w:suff w:val="nothing"/>
      <w:lvlText w:val="liste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6">
    <w:nsid w:val="0C984496"/>
    <w:multiLevelType w:val="multilevel"/>
    <w:tmpl w:val="A6C425FC"/>
    <w:lvl w:ilvl="0">
      <w:start w:val="1"/>
      <w:numFmt w:val="decimal"/>
      <w:pStyle w:val="ssqParte"/>
      <w:suff w:val="nothing"/>
      <w:lvlText w:val="parte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7">
    <w:nsid w:val="0FC40C79"/>
    <w:multiLevelType w:val="multilevel"/>
    <w:tmpl w:val="122A155C"/>
    <w:lvl w:ilvl="0">
      <w:start w:val="1"/>
      <w:numFmt w:val="none"/>
      <w:pStyle w:val="ssRestartAnnex"/>
      <w:suff w:val="space"/>
      <w:lvlJc w:val="left"/>
      <w:pPr>
        <w:ind w:left="0" w:firstLine="0"/>
      </w:pPr>
      <w:rPr>
        <w:rFonts w:hint="default"/>
      </w:rPr>
    </w:lvl>
    <w:lvl w:ilvl="1">
      <w:start w:val="1"/>
      <w:numFmt w:val="decimal"/>
      <w:pStyle w:val="ssqAnnex"/>
      <w:suff w:val="nothing"/>
      <w:lvlText w:val="annex %2 "/>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8">
    <w:nsid w:val="11E06F25"/>
    <w:multiLevelType w:val="multilevel"/>
    <w:tmpl w:val="936AC750"/>
    <w:lvl w:ilvl="0">
      <w:start w:val="1"/>
      <w:numFmt w:val="decimal"/>
      <w:pStyle w:val="ssqMarcar"/>
      <w:suff w:val="nothing"/>
      <w:lvlText w:val="marcar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19">
    <w:nsid w:val="13A671C8"/>
    <w:multiLevelType w:val="hybridMultilevel"/>
    <w:tmpl w:val="26B2D124"/>
    <w:lvl w:ilvl="0">
      <w:start w:val="2"/>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475131F"/>
    <w:multiLevelType w:val="multilevel"/>
    <w:tmpl w:val="FD484C7C"/>
    <w:styleLink w:val="NumRecitals"/>
    <w:lvl w:ilvl="0">
      <w:start w:val="1"/>
      <w:numFmt w:val="upperLetter"/>
      <w:pStyle w:val="Recitals"/>
      <w:lvlText w:val="(%1)"/>
      <w:lvlJc w:val="left"/>
      <w:pPr>
        <w:tabs>
          <w:tab w:val="num" w:pos="709"/>
        </w:tabs>
        <w:ind w:left="709" w:hanging="709"/>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1">
    <w:nsid w:val="159B177C"/>
    <w:multiLevelType w:val="multilevel"/>
    <w:tmpl w:val="D0200CE0"/>
    <w:styleLink w:val="ExhibitNumbering"/>
    <w:lvl w:ilvl="0">
      <w:start w:val="1"/>
      <w:numFmt w:val="none"/>
      <w:suff w:val="nothing"/>
      <w:lvlJc w:val="left"/>
      <w:pPr>
        <w:ind w:left="0" w:firstLine="0"/>
      </w:pPr>
      <w:rPr>
        <w:rFonts w:hint="default"/>
      </w:rPr>
    </w:lvl>
    <w:lvl w:ilvl="1">
      <w:start w:val="1"/>
      <w:numFmt w:val="decimal"/>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6FB5A6C"/>
    <w:multiLevelType w:val="multilevel"/>
    <w:tmpl w:val="28D0386E"/>
    <w:name w:val="Schedule"/>
    <w:lvl w:ilvl="0">
      <w:start w:val="1"/>
      <w:numFmt w:val="decimal"/>
      <w:suff w:val="nothing"/>
      <w:lvlText w:val="Schedule %1"/>
      <w:lvlJc w:val="left"/>
      <w:pPr>
        <w:ind w:left="0" w:firstLine="0"/>
      </w:pPr>
      <w:rPr>
        <w:rFonts w:hint="default"/>
        <w:b/>
        <w:i w:val="0"/>
      </w:rPr>
    </w:lvl>
    <w:lvl w:ilvl="1">
      <w:start w:val="1"/>
      <w:numFmt w:val="decimal"/>
      <w:suff w:val="nothing"/>
      <w:lvlText w:val="Part %2"/>
      <w:lvlJc w:val="left"/>
      <w:pPr>
        <w:ind w:left="0" w:firstLine="0"/>
      </w:pPr>
      <w:rPr>
        <w:rFonts w:hint="default"/>
        <w:b/>
        <w:i w:val="0"/>
        <w:u w:val="none"/>
      </w:rPr>
    </w:lvl>
    <w:lvl w:ilvl="2">
      <w:start w:val="1"/>
      <w:numFmt w:val="decimal"/>
      <w:lvlText w:val="%3."/>
      <w:lvlJc w:val="left"/>
      <w:pPr>
        <w:tabs>
          <w:tab w:val="num" w:pos="709"/>
        </w:tabs>
        <w:ind w:left="709" w:hanging="709"/>
      </w:pPr>
      <w:rPr>
        <w:rFonts w:hint="default"/>
        <w:b w:val="0"/>
        <w:i w:val="0"/>
        <w:u w:val="none"/>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7"/>
        </w:tabs>
        <w:ind w:left="1417" w:hanging="708"/>
      </w:pPr>
      <w:rPr>
        <w:rFonts w:hint="default"/>
        <w:b w:val="0"/>
        <w:i w:val="0"/>
      </w:rPr>
    </w:lvl>
    <w:lvl w:ilvl="5">
      <w:start w:val="1"/>
      <w:numFmt w:val="decimal"/>
      <w:lvlText w:val="(%6)"/>
      <w:lvlJc w:val="left"/>
      <w:pPr>
        <w:tabs>
          <w:tab w:val="num" w:pos="1984"/>
        </w:tabs>
        <w:ind w:left="1984" w:hanging="567"/>
      </w:pPr>
      <w:rPr>
        <w:rFonts w:hint="default"/>
        <w:b w:val="0"/>
        <w:i w:val="0"/>
      </w:rPr>
    </w:lvl>
    <w:lvl w:ilvl="6">
      <w:start w:val="1"/>
      <w:numFmt w:val="lowerLetter"/>
      <w:lvlText w:val="(%7)"/>
      <w:lvlJc w:val="left"/>
      <w:pPr>
        <w:tabs>
          <w:tab w:val="num" w:pos="2551"/>
        </w:tabs>
        <w:ind w:left="2551" w:hanging="567"/>
      </w:pPr>
      <w:rPr>
        <w:rFonts w:hint="default"/>
        <w:b w:val="0"/>
        <w:i w:val="0"/>
      </w:rPr>
    </w:lvl>
    <w:lvl w:ilvl="7">
      <w:start w:val="1"/>
      <w:numFmt w:val="lowerRoman"/>
      <w:lvlText w:val="(%8)"/>
      <w:lvlJc w:val="left"/>
      <w:pPr>
        <w:tabs>
          <w:tab w:val="num" w:pos="3118"/>
        </w:tabs>
        <w:ind w:left="3118" w:hanging="567"/>
      </w:pPr>
      <w:rPr>
        <w:rFonts w:hint="default"/>
        <w:b w:val="0"/>
        <w:i w:val="0"/>
      </w:rPr>
    </w:lvl>
    <w:lvl w:ilvl="8">
      <w:start w:val="1"/>
      <w:numFmt w:val="none"/>
      <w:suff w:val="nothing"/>
      <w:lvlJc w:val="left"/>
      <w:pPr>
        <w:ind w:left="0" w:firstLine="0"/>
      </w:pPr>
      <w:rPr>
        <w:rFonts w:hint="default"/>
      </w:rPr>
    </w:lvl>
  </w:abstractNum>
  <w:abstractNum w:abstractNumId="23">
    <w:nsid w:val="17140D04"/>
    <w:multiLevelType w:val="multilevel"/>
    <w:tmpl w:val="DB2CB420"/>
    <w:lvl w:ilvl="0">
      <w:start w:val="1"/>
      <w:numFmt w:val="decimal"/>
      <w:pStyle w:val="ssqAnnexe"/>
      <w:suff w:val="nothing"/>
      <w:lvlText w:val="annexe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4">
    <w:nsid w:val="190C26FA"/>
    <w:multiLevelType w:val="multilevel"/>
    <w:tmpl w:val="83A00036"/>
    <w:lvl w:ilvl="0">
      <w:start w:val="1"/>
      <w:numFmt w:val="none"/>
      <w:pStyle w:val="Definitions"/>
      <w:suff w:val="nothing"/>
      <w:lvlJc w:val="left"/>
      <w:pPr>
        <w:ind w:left="709" w:firstLine="0"/>
      </w:pPr>
      <w:rPr>
        <w:rFonts w:hint="default"/>
      </w:rPr>
    </w:lvl>
    <w:lvl w:ilvl="1">
      <w:start w:val="1"/>
      <w:numFmt w:val="upperLetter"/>
      <w:pStyle w:val="Definitions1"/>
      <w:lvlText w:val="(%2)"/>
      <w:lvlJc w:val="left"/>
      <w:pPr>
        <w:tabs>
          <w:tab w:val="num" w:pos="1418"/>
        </w:tabs>
        <w:ind w:left="1418" w:hanging="709"/>
      </w:pPr>
      <w:rPr>
        <w:rFonts w:hint="default"/>
      </w:rPr>
    </w:lvl>
    <w:lvl w:ilvl="2">
      <w:start w:val="1"/>
      <w:numFmt w:val="decimal"/>
      <w:pStyle w:val="Definitions2"/>
      <w:lvlText w:val="(%3)"/>
      <w:lvlJc w:val="left"/>
      <w:pPr>
        <w:tabs>
          <w:tab w:val="num" w:pos="1985"/>
        </w:tabs>
        <w:ind w:left="1985" w:hanging="567"/>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25">
    <w:nsid w:val="1C812D95"/>
    <w:multiLevelType w:val="multilevel"/>
    <w:tmpl w:val="6CB62434"/>
    <w:lvl w:ilvl="0">
      <w:start w:val="1"/>
      <w:numFmt w:val="decimal"/>
      <w:pStyle w:val="ssqSchema"/>
      <w:suff w:val="nothing"/>
      <w:lvlText w:val="schema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6">
    <w:nsid w:val="1CD55F89"/>
    <w:multiLevelType w:val="multilevel"/>
    <w:tmpl w:val="71AE82BE"/>
    <w:lvl w:ilvl="0">
      <w:start w:val="1"/>
      <w:numFmt w:val="decimal"/>
      <w:pStyle w:val="ssqTeil"/>
      <w:suff w:val="nothing"/>
      <w:lvlText w:val="teil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7">
    <w:nsid w:val="1DF74D5C"/>
    <w:multiLevelType w:val="multilevel"/>
    <w:tmpl w:val="B6383584"/>
    <w:lvl w:ilvl="0">
      <w:start w:val="1"/>
      <w:numFmt w:val="decimal"/>
      <w:pStyle w:val="ssq0"/>
      <w:suff w:val="nothing"/>
      <w:lvlText w:val="المرفق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8">
    <w:nsid w:val="21A61B4F"/>
    <w:multiLevelType w:val="multilevel"/>
    <w:tmpl w:val="B5D4FC0C"/>
    <w:lvl w:ilvl="0">
      <w:start w:val="1"/>
      <w:numFmt w:val="decimal"/>
      <w:pStyle w:val="ssqAnlage"/>
      <w:suff w:val="nothing"/>
      <w:lvlText w:val="anlage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29">
    <w:nsid w:val="222B7544"/>
    <w:multiLevelType w:val="multilevel"/>
    <w:tmpl w:val="25A6DE5A"/>
    <w:lvl w:ilvl="0">
      <w:start w:val="1"/>
      <w:numFmt w:val="decimal"/>
      <w:pStyle w:val="ssqAllegato"/>
      <w:suff w:val="nothing"/>
      <w:lvlText w:val="allegato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30">
    <w:nsid w:val="240C1329"/>
    <w:multiLevelType w:val="multilevel"/>
    <w:tmpl w:val="3A02A772"/>
    <w:lvl w:ilvl="0">
      <w:start w:val="1"/>
      <w:numFmt w:val="decimal"/>
      <w:pStyle w:val="ssqApndice"/>
      <w:suff w:val="nothing"/>
      <w:lvlText w:val="apéndice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31">
    <w:nsid w:val="24977E4E"/>
    <w:multiLevelType w:val="multilevel"/>
    <w:tmpl w:val="5CE40D6E"/>
    <w:styleLink w:val="NumDefinitions"/>
    <w:lvl w:ilvl="0">
      <w:start w:val="1"/>
      <w:numFmt w:val="none"/>
      <w:suff w:val="nothing"/>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1985"/>
        </w:tabs>
        <w:ind w:left="1985" w:hanging="567"/>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32">
    <w:nsid w:val="27244E0F"/>
    <w:multiLevelType w:val="multilevel"/>
    <w:tmpl w:val="D0200CE0"/>
    <w:lvl w:ilvl="0">
      <w:start w:val="1"/>
      <w:numFmt w:val="none"/>
      <w:pStyle w:val="ssRestartExhibit"/>
      <w:suff w:val="nothing"/>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8BE2F4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2BAA5C75"/>
    <w:multiLevelType w:val="multilevel"/>
    <w:tmpl w:val="4D041E88"/>
    <w:lvl w:ilvl="0">
      <w:start w:val="1"/>
      <w:numFmt w:val="decimal"/>
      <w:pStyle w:val="ssqProductie"/>
      <w:suff w:val="nothing"/>
      <w:lvlText w:val="productie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35">
    <w:nsid w:val="2BD40EEA"/>
    <w:multiLevelType w:val="multilevel"/>
    <w:tmpl w:val="9B8E0878"/>
    <w:lvl w:ilvl="0">
      <w:start w:val="1"/>
      <w:numFmt w:val="none"/>
      <w:pStyle w:val="ssRestartExposicin"/>
      <w:suff w:val="space"/>
      <w:lvlJc w:val="left"/>
      <w:pPr>
        <w:ind w:left="0" w:firstLine="0"/>
      </w:pPr>
      <w:rPr>
        <w:rFonts w:hint="default"/>
      </w:rPr>
    </w:lvl>
    <w:lvl w:ilvl="1">
      <w:start w:val="1"/>
      <w:numFmt w:val="decimal"/>
      <w:pStyle w:val="ssqExposicin"/>
      <w:suff w:val="nothing"/>
      <w:lvlText w:val="exposición %2 "/>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36">
    <w:nsid w:val="2E9F35EA"/>
    <w:multiLevelType w:val="multilevel"/>
    <w:tmpl w:val="E0FA8E66"/>
    <w:numStyleLink w:val="ScheduleNumbering"/>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7">
    <w:nsid w:val="350245E9"/>
    <w:multiLevelType w:val="multilevel"/>
    <w:tmpl w:val="B60C81CC"/>
    <w:styleLink w:val="NumPara"/>
    <w:lvl w:ilvl="0">
      <w:start w:val="1"/>
      <w:numFmt w:val="none"/>
      <w:pStyle w:val="ssPara"/>
      <w:suff w:val="nothing"/>
      <w:lvlJc w:val="left"/>
      <w:pPr>
        <w:ind w:left="0" w:firstLine="0"/>
      </w:pPr>
      <w:rPr>
        <w:rFonts w:hint="default"/>
      </w:rPr>
    </w:lvl>
    <w:lvl w:ilvl="1">
      <w:start w:val="1"/>
      <w:numFmt w:val="none"/>
      <w:pStyle w:val="ssPara1"/>
      <w:suff w:val="nothing"/>
      <w:lvlJc w:val="left"/>
      <w:pPr>
        <w:ind w:left="709" w:firstLine="0"/>
      </w:pPr>
      <w:rPr>
        <w:rFonts w:hint="default"/>
      </w:rPr>
    </w:lvl>
    <w:lvl w:ilvl="2">
      <w:start w:val="1"/>
      <w:numFmt w:val="none"/>
      <w:pStyle w:val="ssPara2"/>
      <w:suff w:val="nothing"/>
      <w:lvlJc w:val="left"/>
      <w:pPr>
        <w:ind w:left="709" w:firstLine="0"/>
      </w:pPr>
      <w:rPr>
        <w:rFonts w:hint="default"/>
      </w:rPr>
    </w:lvl>
    <w:lvl w:ilvl="3">
      <w:start w:val="1"/>
      <w:numFmt w:val="none"/>
      <w:pStyle w:val="ssPara3"/>
      <w:suff w:val="nothing"/>
      <w:lvlJc w:val="left"/>
      <w:pPr>
        <w:ind w:left="1418" w:firstLine="0"/>
      </w:pPr>
      <w:rPr>
        <w:rFonts w:hint="default"/>
      </w:rPr>
    </w:lvl>
    <w:lvl w:ilvl="4">
      <w:start w:val="1"/>
      <w:numFmt w:val="none"/>
      <w:pStyle w:val="ssPara4"/>
      <w:suff w:val="nothing"/>
      <w:lvlJc w:val="left"/>
      <w:pPr>
        <w:ind w:left="1985" w:firstLine="0"/>
      </w:pPr>
      <w:rPr>
        <w:rFonts w:hint="default"/>
      </w:rPr>
    </w:lvl>
    <w:lvl w:ilvl="5">
      <w:start w:val="1"/>
      <w:numFmt w:val="none"/>
      <w:pStyle w:val="ssPara5"/>
      <w:suff w:val="nothing"/>
      <w:lvlJc w:val="left"/>
      <w:pPr>
        <w:ind w:left="2552" w:firstLine="0"/>
      </w:pPr>
      <w:rPr>
        <w:rFonts w:hint="default"/>
      </w:rPr>
    </w:lvl>
    <w:lvl w:ilvl="6">
      <w:start w:val="1"/>
      <w:numFmt w:val="none"/>
      <w:pStyle w:val="ssPara6"/>
      <w:suff w:val="nothing"/>
      <w:lvlJc w:val="left"/>
      <w:pPr>
        <w:ind w:left="3119"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38">
    <w:nsid w:val="353030E2"/>
    <w:multiLevelType w:val="multilevel"/>
    <w:tmpl w:val="84B0CB6E"/>
    <w:lvl w:ilvl="0">
      <w:start w:val="1"/>
      <w:numFmt w:val="decimal"/>
      <w:pStyle w:val="ssqMarcao"/>
      <w:suff w:val="nothing"/>
      <w:lvlText w:val="marcação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39">
    <w:nsid w:val="39937EB2"/>
    <w:multiLevelType w:val="multilevel"/>
    <w:tmpl w:val="E0FA8E66"/>
    <w:styleLink w:val="ScheduleNumbering"/>
    <w:lvl w:ilvl="0">
      <w:start w:val="1"/>
      <w:numFmt w:val="none"/>
      <w:pStyle w:val="ssRestartSchedule"/>
      <w:suff w:val="nothing"/>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3AD82D68"/>
    <w:multiLevelType w:val="multilevel"/>
    <w:tmpl w:val="7EEA7940"/>
    <w:lvl w:ilvl="0">
      <w:start w:val="1"/>
      <w:numFmt w:val="decimal"/>
      <w:pStyle w:val="ssqApresentar"/>
      <w:suff w:val="nothing"/>
      <w:lvlText w:val="apresentar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42">
    <w:nsid w:val="3B4B700E"/>
    <w:multiLevelType w:val="multilevel"/>
    <w:tmpl w:val="20665F4A"/>
    <w:styleLink w:val="Num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upperLetter"/>
      <w:lvlText w:val="(%3)"/>
      <w:lvlJc w:val="left"/>
      <w:pPr>
        <w:tabs>
          <w:tab w:val="num" w:pos="1418"/>
        </w:tabs>
        <w:ind w:left="1418" w:hanging="709"/>
      </w:pPr>
      <w:rPr>
        <w:rFonts w:hint="default"/>
        <w:b w:val="0"/>
        <w:i w:val="0"/>
      </w:rPr>
    </w:lvl>
    <w:lvl w:ilvl="3">
      <w:start w:val="1"/>
      <w:numFmt w:val="decimal"/>
      <w:lvlText w:val="(%4)"/>
      <w:lvlJc w:val="left"/>
      <w:pPr>
        <w:tabs>
          <w:tab w:val="num" w:pos="1985"/>
        </w:tabs>
        <w:ind w:left="1985" w:hanging="567"/>
      </w:pPr>
      <w:rPr>
        <w:rFonts w:hint="default"/>
        <w:b w:val="0"/>
        <w:i w:val="0"/>
      </w:rPr>
    </w:lvl>
    <w:lvl w:ilvl="4">
      <w:start w:val="1"/>
      <w:numFmt w:val="lowerLetter"/>
      <w:lvlText w:val="(%5)"/>
      <w:lvlJc w:val="left"/>
      <w:pPr>
        <w:tabs>
          <w:tab w:val="num" w:pos="2552"/>
        </w:tabs>
        <w:ind w:left="2552" w:hanging="567"/>
      </w:pPr>
      <w:rPr>
        <w:rFonts w:hint="default"/>
        <w:b w:val="0"/>
        <w:i w:val="0"/>
      </w:rPr>
    </w:lvl>
    <w:lvl w:ilvl="5">
      <w:start w:val="1"/>
      <w:numFmt w:val="lowerRoman"/>
      <w:lvlText w:val="(%6)"/>
      <w:lvlJc w:val="left"/>
      <w:pPr>
        <w:tabs>
          <w:tab w:val="num" w:pos="3119"/>
        </w:tabs>
        <w:ind w:left="3119" w:hanging="567"/>
      </w:pPr>
      <w:rPr>
        <w:rFonts w:hint="default"/>
        <w:b w:val="0"/>
        <w:i w:val="0"/>
      </w:rPr>
    </w:lvl>
    <w:lvl w:ilvl="6">
      <w:start w:val="1"/>
      <w:numFmt w:val="none"/>
      <w:suff w:val="nothing"/>
      <w:lvlJc w:val="left"/>
      <w:pPr>
        <w:ind w:left="0" w:firstLine="0"/>
      </w:pPr>
      <w:rPr>
        <w:rFonts w:hint="default"/>
      </w:rPr>
    </w:lvl>
    <w:lvl w:ilvl="7">
      <w:start w:val="1"/>
      <w:numFmt w:val="none"/>
      <w:lvlJc w:val="left"/>
      <w:pPr>
        <w:tabs>
          <w:tab w:val="num" w:pos="0"/>
        </w:tabs>
        <w:ind w:left="0" w:firstLine="0"/>
      </w:pPr>
      <w:rPr>
        <w:rFonts w:hint="default"/>
      </w:rPr>
    </w:lvl>
    <w:lvl w:ilvl="8">
      <w:start w:val="1"/>
      <w:numFmt w:val="none"/>
      <w:suff w:val="nothing"/>
      <w:lvlJc w:val="left"/>
      <w:pPr>
        <w:ind w:left="0" w:firstLine="0"/>
      </w:pPr>
      <w:rPr>
        <w:rFonts w:hint="default"/>
      </w:rPr>
    </w:lvl>
  </w:abstractNum>
  <w:abstractNum w:abstractNumId="43">
    <w:nsid w:val="3C8E632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410D44A5"/>
    <w:multiLevelType w:val="multilevel"/>
    <w:tmpl w:val="6918195C"/>
    <w:lvl w:ilvl="0">
      <w:start w:val="1"/>
      <w:numFmt w:val="decimal"/>
      <w:pStyle w:val="ssqDeel"/>
      <w:suff w:val="nothing"/>
      <w:lvlText w:val="deel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45">
    <w:nsid w:val="4130019E"/>
    <w:multiLevelType w:val="multilevel"/>
    <w:tmpl w:val="BF5EEB72"/>
    <w:lvl w:ilvl="0">
      <w:start w:val="1"/>
      <w:numFmt w:val="decimal"/>
      <w:pStyle w:val="ssqBijlage"/>
      <w:suff w:val="nothing"/>
      <w:lvlText w:val="bijlage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46">
    <w:nsid w:val="41732064"/>
    <w:multiLevelType w:val="multilevel"/>
    <w:tmpl w:val="4FD06410"/>
    <w:lvl w:ilvl="0">
      <w:start w:val="1"/>
      <w:numFmt w:val="decimal"/>
      <w:pStyle w:val="ssq1"/>
      <w:suff w:val="nothing"/>
      <w:lvlText w:val="الملحق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47">
    <w:nsid w:val="4400737D"/>
    <w:multiLevelType w:val="multilevel"/>
    <w:tmpl w:val="BBF67632"/>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asciiTheme="majorHAnsi" w:hAnsiTheme="majorHAnsi" w:cstheme="majorHAnsi" w:hint="default"/>
        <w:b w:val="0"/>
        <w:i w:val="0"/>
        <w:u w:val="none"/>
      </w:rPr>
    </w:lvl>
    <w:lvl w:ilvl="2">
      <w:start w:val="1"/>
      <w:numFmt w:val="decimal"/>
      <w:pStyle w:val="Heading2"/>
      <w:lvlText w:val="%2.%3"/>
      <w:lvlJc w:val="left"/>
      <w:pPr>
        <w:tabs>
          <w:tab w:val="num" w:pos="709"/>
        </w:tabs>
        <w:ind w:left="709" w:hanging="709"/>
      </w:pPr>
      <w:rPr>
        <w:rFonts w:asciiTheme="minorHAnsi" w:hAnsiTheme="minorHAnsi" w:cstheme="minorHAnsi"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40A67E5"/>
    <w:multiLevelType w:val="multilevel"/>
    <w:tmpl w:val="C6843C52"/>
    <w:styleLink w:val="NumSch"/>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709"/>
        </w:tabs>
        <w:ind w:left="709" w:hanging="709"/>
      </w:pPr>
      <w:rPr>
        <w:rFonts w:hint="default"/>
        <w:b w:val="0"/>
        <w:i w:val="0"/>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8"/>
        </w:tabs>
        <w:ind w:left="1418" w:hanging="709"/>
      </w:pPr>
      <w:rPr>
        <w:rFonts w:hint="default"/>
        <w:b w:val="0"/>
        <w:i w:val="0"/>
      </w:rPr>
    </w:lvl>
    <w:lvl w:ilvl="5">
      <w:start w:val="1"/>
      <w:numFmt w:val="decimal"/>
      <w:lvlText w:val="(%6)"/>
      <w:lvlJc w:val="left"/>
      <w:pPr>
        <w:tabs>
          <w:tab w:val="num" w:pos="1985"/>
        </w:tabs>
        <w:ind w:left="1985" w:hanging="567"/>
      </w:pPr>
      <w:rPr>
        <w:rFonts w:hint="default"/>
        <w:b w:val="0"/>
        <w:i w:val="0"/>
      </w:rPr>
    </w:lvl>
    <w:lvl w:ilvl="6">
      <w:start w:val="1"/>
      <w:numFmt w:val="lowerLetter"/>
      <w:lvlText w:val="(%7)"/>
      <w:lvlJc w:val="left"/>
      <w:pPr>
        <w:tabs>
          <w:tab w:val="num" w:pos="2552"/>
        </w:tabs>
        <w:ind w:left="2552" w:hanging="567"/>
      </w:pPr>
      <w:rPr>
        <w:rFonts w:hint="default"/>
        <w:b w:val="0"/>
        <w:i w:val="0"/>
      </w:rPr>
    </w:lvl>
    <w:lvl w:ilvl="7">
      <w:start w:val="1"/>
      <w:numFmt w:val="lowerRoman"/>
      <w:lvlText w:val="(%8)"/>
      <w:lvlJc w:val="left"/>
      <w:pPr>
        <w:tabs>
          <w:tab w:val="num" w:pos="3119"/>
        </w:tabs>
        <w:ind w:left="3119" w:hanging="567"/>
      </w:pPr>
      <w:rPr>
        <w:rFonts w:hint="default"/>
        <w:b w:val="0"/>
        <w:i w:val="0"/>
      </w:rPr>
    </w:lvl>
    <w:lvl w:ilvl="8">
      <w:start w:val="1"/>
      <w:numFmt w:val="none"/>
      <w:suff w:val="nothing"/>
      <w:lvlJc w:val="left"/>
      <w:pPr>
        <w:ind w:left="0" w:firstLine="0"/>
      </w:pPr>
      <w:rPr>
        <w:rFonts w:hint="default"/>
      </w:rPr>
    </w:lvl>
  </w:abstractNum>
  <w:abstractNum w:abstractNumId="49">
    <w:nsid w:val="464E539F"/>
    <w:multiLevelType w:val="multilevel"/>
    <w:tmpl w:val="576C219E"/>
    <w:styleLink w:val="AppendixNumbering"/>
    <w:lvl w:ilvl="0">
      <w:start w:val="1"/>
      <w:numFmt w:val="none"/>
      <w:suff w:val="nothing"/>
      <w:lvlJc w:val="left"/>
      <w:pPr>
        <w:ind w:left="0" w:firstLine="0"/>
      </w:pPr>
      <w:rPr>
        <w:rFonts w:hint="default"/>
      </w:rPr>
    </w:lvl>
    <w:lvl w:ilvl="1">
      <w:start w:val="1"/>
      <w:numFmt w:val="decimal"/>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47E97851"/>
    <w:multiLevelType w:val="multilevel"/>
    <w:tmpl w:val="CDB633F6"/>
    <w:lvl w:ilvl="0">
      <w:start w:val="1"/>
      <w:numFmt w:val="decimal"/>
      <w:pStyle w:val="ssqMostrar"/>
      <w:suff w:val="nothing"/>
      <w:lvlText w:val="mostrar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51">
    <w:nsid w:val="47F37F75"/>
    <w:multiLevelType w:val="multilevel"/>
    <w:tmpl w:val="F60608A2"/>
    <w:name w:val="Recitals"/>
    <w:lvl w:ilvl="0">
      <w:start w:val="1"/>
      <w:numFmt w:val="upperLetter"/>
      <w:lvlText w:val="(%1)"/>
      <w:lvlJc w:val="left"/>
      <w:pPr>
        <w:tabs>
          <w:tab w:val="num" w:pos="709"/>
        </w:tabs>
        <w:ind w:left="709" w:hanging="709"/>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52">
    <w:nsid w:val="486C2ACA"/>
    <w:multiLevelType w:val="multilevel"/>
    <w:tmpl w:val="B4525B04"/>
    <w:lvl w:ilvl="0">
      <w:start w:val="1"/>
      <w:numFmt w:val="decimal"/>
      <w:pStyle w:val="ssqPartie"/>
      <w:suff w:val="nothing"/>
      <w:lvlText w:val="partie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53">
    <w:nsid w:val="4F193B13"/>
    <w:multiLevelType w:val="hybridMultilevel"/>
    <w:tmpl w:val="28ACA62C"/>
    <w:lvl w:ilvl="0">
      <w:start w:val="1"/>
      <w:numFmt w:val="upperLetter"/>
      <w:pStyle w:val="ssUserEntryLettered"/>
      <w:lvlText w:val="(%1)"/>
      <w:lvlJc w:val="left"/>
      <w:pPr>
        <w:tabs>
          <w:tab w:val="num" w:pos="851"/>
        </w:tabs>
        <w:ind w:left="851" w:hanging="851"/>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17E071B"/>
    <w:multiLevelType w:val="multilevel"/>
    <w:tmpl w:val="2AA6AB7C"/>
    <w:lvl w:ilvl="0">
      <w:start w:val="1"/>
      <w:numFmt w:val="none"/>
      <w:pStyle w:val="ssRestartPart"/>
      <w:suff w:val="nothing"/>
      <w:lvlJc w:val="left"/>
      <w:pPr>
        <w:ind w:left="0" w:firstLine="0"/>
      </w:pPr>
      <w:rPr>
        <w:rFonts w:hint="default"/>
      </w:rPr>
    </w:lvl>
    <w:lvl w:ilvl="1">
      <w:start w:val="1"/>
      <w:numFmt w:val="decimal"/>
      <w:pStyle w:val="ssqPart"/>
      <w:suff w:val="space"/>
      <w:lvlText w:val="Part %2"/>
      <w:lvlJc w:val="left"/>
      <w:pPr>
        <w:ind w:left="0" w:firstLine="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3792175"/>
    <w:multiLevelType w:val="multilevel"/>
    <w:tmpl w:val="47285A8A"/>
    <w:lvl w:ilvl="0">
      <w:start w:val="1"/>
      <w:numFmt w:val="decimal"/>
      <w:pStyle w:val="ssqAgendar"/>
      <w:suff w:val="nothing"/>
      <w:lvlText w:val="agendar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56">
    <w:nsid w:val="54D24CB9"/>
    <w:multiLevelType w:val="multilevel"/>
    <w:tmpl w:val="B96E3722"/>
    <w:lvl w:ilvl="0">
      <w:start w:val="1"/>
      <w:numFmt w:val="decimal"/>
      <w:pStyle w:val="ssqAnexo"/>
      <w:suff w:val="nothing"/>
      <w:lvlText w:val="anexo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57">
    <w:nsid w:val="562B7FD0"/>
    <w:multiLevelType w:val="multilevel"/>
    <w:tmpl w:val="DB62E806"/>
    <w:lvl w:ilvl="0">
      <w:start w:val="1"/>
      <w:numFmt w:val="decimal"/>
      <w:pStyle w:val="ssq"/>
      <w:suff w:val="nothing"/>
      <w:lvlText w:val="الجدول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58">
    <w:nsid w:val="57C02942"/>
    <w:multiLevelType w:val="multilevel"/>
    <w:tmpl w:val="1CD2F3B0"/>
    <w:lvl w:ilvl="0">
      <w:start w:val="1"/>
      <w:numFmt w:val="none"/>
      <w:pStyle w:val="ssRestartScheda"/>
      <w:suff w:val="space"/>
      <w:lvlJc w:val="left"/>
      <w:pPr>
        <w:ind w:left="0" w:firstLine="0"/>
      </w:pPr>
      <w:rPr>
        <w:rFonts w:hint="default"/>
      </w:rPr>
    </w:lvl>
    <w:lvl w:ilvl="1">
      <w:start w:val="1"/>
      <w:numFmt w:val="decimal"/>
      <w:pStyle w:val="ssqScheda"/>
      <w:suff w:val="nothing"/>
      <w:lvlText w:val="scheda %2 "/>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59">
    <w:nsid w:val="5A5E0F6E"/>
    <w:multiLevelType w:val="multilevel"/>
    <w:tmpl w:val="1FBA9B46"/>
    <w:lvl w:ilvl="0">
      <w:start w:val="1"/>
      <w:numFmt w:val="none"/>
      <w:suff w:val="nothing"/>
      <w:lvlText w:val="%1"/>
      <w:lvlJc w:val="left"/>
      <w:pPr>
        <w:ind w:left="0" w:firstLine="0"/>
      </w:pPr>
      <w:rPr>
        <w:rFonts w:hint="default"/>
      </w:rPr>
    </w:lvl>
    <w:lvl w:ilvl="1">
      <w:start w:val="1"/>
      <w:numFmt w:val="bullet"/>
      <w:lvlText w:val=""/>
      <w:lvlJc w:val="left"/>
      <w:pPr>
        <w:tabs>
          <w:tab w:val="num" w:pos="709"/>
        </w:tabs>
        <w:ind w:left="709" w:hanging="709"/>
      </w:pPr>
      <w:rPr>
        <w:rFonts w:ascii="Symbol" w:hAnsi="Symbol" w:hint="default"/>
        <w:b w:val="0"/>
        <w:i w:val="0"/>
        <w:u w:val="none"/>
      </w:rPr>
    </w:lvl>
    <w:lvl w:ilvl="2">
      <w:start w:val="1"/>
      <w:numFmt w:val="decimal"/>
      <w:lvlText w:val="%2.%3"/>
      <w:lvlJc w:val="left"/>
      <w:pPr>
        <w:tabs>
          <w:tab w:val="num" w:pos="709"/>
        </w:tabs>
        <w:ind w:left="709" w:hanging="709"/>
      </w:pPr>
      <w:rPr>
        <w:rFonts w:asciiTheme="minorHAnsi" w:hAnsiTheme="minorHAnsi" w:cstheme="minorHAnsi" w:hint="default"/>
        <w:b w:val="0"/>
        <w:i w:val="0"/>
        <w:u w:val="none"/>
      </w:rPr>
    </w:lvl>
    <w:lvl w:ilvl="3">
      <w:start w:val="1"/>
      <w:numFmt w:val="upperLetter"/>
      <w:lvlText w:val="(%4)"/>
      <w:lvlJc w:val="left"/>
      <w:pPr>
        <w:tabs>
          <w:tab w:val="num" w:pos="1418"/>
        </w:tabs>
        <w:ind w:left="1418" w:hanging="709"/>
      </w:pPr>
      <w:rPr>
        <w:rFonts w:hint="default"/>
        <w:b w:val="0"/>
        <w:i w:val="0"/>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B842735"/>
    <w:multiLevelType w:val="multilevel"/>
    <w:tmpl w:val="A5F65242"/>
    <w:styleLink w:val="NumParties"/>
    <w:lvl w:ilvl="0">
      <w:start w:val="1"/>
      <w:numFmt w:val="decimal"/>
      <w:pStyle w:val="Parties"/>
      <w:lvlText w:val="(%1)"/>
      <w:lvlJc w:val="left"/>
      <w:pPr>
        <w:tabs>
          <w:tab w:val="num" w:pos="709"/>
        </w:tabs>
        <w:ind w:left="709" w:hanging="709"/>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lvlJc w:val="left"/>
      <w:pPr>
        <w:tabs>
          <w:tab w:val="num" w:pos="0"/>
        </w:tabs>
        <w:ind w:left="0" w:firstLine="0"/>
      </w:pPr>
      <w:rPr>
        <w:rFonts w:hint="default"/>
      </w:rPr>
    </w:lvl>
  </w:abstractNum>
  <w:abstractNum w:abstractNumId="61">
    <w:nsid w:val="5BF470F7"/>
    <w:multiLevelType w:val="multilevel"/>
    <w:tmpl w:val="0190697E"/>
    <w:lvl w:ilvl="0">
      <w:start w:val="1"/>
      <w:numFmt w:val="decimal"/>
      <w:pStyle w:val="ssqPrograma"/>
      <w:suff w:val="nothing"/>
      <w:lvlText w:val="programa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62">
    <w:nsid w:val="5BFB0315"/>
    <w:multiLevelType w:val="multilevel"/>
    <w:tmpl w:val="7F324546"/>
    <w:lvl w:ilvl="0">
      <w:start w:val="1"/>
      <w:numFmt w:val="decimal"/>
      <w:pStyle w:val="ssqAppendice"/>
      <w:suff w:val="nothing"/>
      <w:lvlText w:val="appendice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63">
    <w:nsid w:val="615F32C4"/>
    <w:multiLevelType w:val="multilevel"/>
    <w:tmpl w:val="F8C8927A"/>
    <w:lvl w:ilvl="0">
      <w:start w:val="1"/>
      <w:numFmt w:val="decimal"/>
      <w:pStyle w:val="ssqCalendario"/>
      <w:suff w:val="nothing"/>
      <w:lvlText w:val="calendario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64">
    <w:nsid w:val="64B70B2F"/>
    <w:multiLevelType w:val="multilevel"/>
    <w:tmpl w:val="DB26FA74"/>
    <w:lvl w:ilvl="0">
      <w:start w:val="1"/>
      <w:numFmt w:val="decimal"/>
      <w:pStyle w:val="ssq5"/>
      <w:suff w:val="nothing"/>
      <w:lvlText w:val="ملحق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65">
    <w:nsid w:val="675C02D9"/>
    <w:multiLevelType w:val="multilevel"/>
    <w:tmpl w:val="07580F90"/>
    <w:lvl w:ilvl="0">
      <w:start w:val="1"/>
      <w:numFmt w:val="decimal"/>
      <w:pStyle w:val="ssqBewijsstuk"/>
      <w:suff w:val="nothing"/>
      <w:lvlText w:val="bewijsstuk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66">
    <w:nsid w:val="68705481"/>
    <w:multiLevelType w:val="multilevel"/>
    <w:tmpl w:val="1FBA9B46"/>
    <w:lvl w:ilvl="0">
      <w:start w:val="1"/>
      <w:numFmt w:val="none"/>
      <w:suff w:val="nothing"/>
      <w:lvlText w:val="%1"/>
      <w:lvlJc w:val="left"/>
      <w:pPr>
        <w:ind w:left="0" w:firstLine="0"/>
      </w:pPr>
      <w:rPr>
        <w:rFonts w:hint="default"/>
      </w:rPr>
    </w:lvl>
    <w:lvl w:ilvl="1">
      <w:start w:val="1"/>
      <w:numFmt w:val="bullet"/>
      <w:lvlText w:val=""/>
      <w:lvlJc w:val="left"/>
      <w:pPr>
        <w:tabs>
          <w:tab w:val="num" w:pos="709"/>
        </w:tabs>
        <w:ind w:left="709" w:hanging="709"/>
      </w:pPr>
      <w:rPr>
        <w:rFonts w:ascii="Symbol" w:hAnsi="Symbol" w:hint="default"/>
        <w:b w:val="0"/>
        <w:i w:val="0"/>
        <w:u w:val="none"/>
      </w:rPr>
    </w:lvl>
    <w:lvl w:ilvl="2">
      <w:start w:val="1"/>
      <w:numFmt w:val="decimal"/>
      <w:lvlText w:val="%2.%3"/>
      <w:lvlJc w:val="left"/>
      <w:pPr>
        <w:tabs>
          <w:tab w:val="num" w:pos="709"/>
        </w:tabs>
        <w:ind w:left="709" w:hanging="709"/>
      </w:pPr>
      <w:rPr>
        <w:rFonts w:asciiTheme="minorHAnsi" w:hAnsiTheme="minorHAnsi" w:cstheme="minorHAnsi" w:hint="default"/>
        <w:b w:val="0"/>
        <w:i w:val="0"/>
        <w:u w:val="none"/>
      </w:rPr>
    </w:lvl>
    <w:lvl w:ilvl="3">
      <w:start w:val="1"/>
      <w:numFmt w:val="upperLetter"/>
      <w:lvlText w:val="(%4)"/>
      <w:lvlJc w:val="left"/>
      <w:pPr>
        <w:tabs>
          <w:tab w:val="num" w:pos="1418"/>
        </w:tabs>
        <w:ind w:left="1418" w:hanging="709"/>
      </w:pPr>
      <w:rPr>
        <w:rFonts w:hint="default"/>
        <w:b w:val="0"/>
        <w:i w:val="0"/>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8CD5981"/>
    <w:multiLevelType w:val="multilevel"/>
    <w:tmpl w:val="C2D87C8A"/>
    <w:lvl w:ilvl="0">
      <w:start w:val="1"/>
      <w:numFmt w:val="decimal"/>
      <w:pStyle w:val="ssqExibir"/>
      <w:suff w:val="nothing"/>
      <w:lvlText w:val="exibir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68">
    <w:nsid w:val="6A200A64"/>
    <w:multiLevelType w:val="multilevel"/>
    <w:tmpl w:val="B60C81CC"/>
    <w:numStyleLink w:val="NumPara"/>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9">
    <w:nsid w:val="6B031620"/>
    <w:multiLevelType w:val="multilevel"/>
    <w:tmpl w:val="92F68528"/>
    <w:lvl w:ilvl="0">
      <w:start w:val="1"/>
      <w:numFmt w:val="decimal"/>
      <w:pStyle w:val="ssqSeccin"/>
      <w:suff w:val="nothing"/>
      <w:lvlText w:val="sección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70">
    <w:nsid w:val="6F7F2C65"/>
    <w:multiLevelType w:val="multilevel"/>
    <w:tmpl w:val="03FE7BEC"/>
    <w:lvl w:ilvl="0">
      <w:start w:val="1"/>
      <w:numFmt w:val="decimal"/>
      <w:pStyle w:val="ssq3"/>
      <w:suff w:val="nothing"/>
      <w:lvlText w:val="قسم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71">
    <w:nsid w:val="7467555A"/>
    <w:multiLevelType w:val="multilevel"/>
    <w:tmpl w:val="5A58706A"/>
    <w:name w:val="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upperLetter"/>
      <w:lvlText w:val="(%3)"/>
      <w:lvlJc w:val="left"/>
      <w:pPr>
        <w:tabs>
          <w:tab w:val="num" w:pos="1418"/>
        </w:tabs>
        <w:ind w:left="1418" w:hanging="709"/>
      </w:pPr>
      <w:rPr>
        <w:rFonts w:hint="default"/>
        <w:b w:val="0"/>
        <w:i w:val="0"/>
      </w:rPr>
    </w:lvl>
    <w:lvl w:ilvl="3">
      <w:start w:val="1"/>
      <w:numFmt w:val="decimal"/>
      <w:lvlText w:val="(%4)"/>
      <w:lvlJc w:val="left"/>
      <w:pPr>
        <w:tabs>
          <w:tab w:val="num" w:pos="1985"/>
        </w:tabs>
        <w:ind w:left="1985" w:hanging="567"/>
      </w:pPr>
      <w:rPr>
        <w:rFonts w:hint="default"/>
        <w:b w:val="0"/>
        <w:i w:val="0"/>
      </w:rPr>
    </w:lvl>
    <w:lvl w:ilvl="4">
      <w:start w:val="1"/>
      <w:numFmt w:val="lowerLetter"/>
      <w:lvlText w:val="(%5)"/>
      <w:lvlJc w:val="left"/>
      <w:pPr>
        <w:tabs>
          <w:tab w:val="num" w:pos="2552"/>
        </w:tabs>
        <w:ind w:left="2552" w:hanging="567"/>
      </w:pPr>
      <w:rPr>
        <w:rFonts w:hint="default"/>
        <w:b w:val="0"/>
        <w:i w:val="0"/>
      </w:rPr>
    </w:lvl>
    <w:lvl w:ilvl="5">
      <w:start w:val="1"/>
      <w:numFmt w:val="lowerRoman"/>
      <w:lvlText w:val="(%6)"/>
      <w:lvlJc w:val="left"/>
      <w:pPr>
        <w:tabs>
          <w:tab w:val="num" w:pos="3119"/>
        </w:tabs>
        <w:ind w:left="3119" w:hanging="567"/>
      </w:pPr>
      <w:rPr>
        <w:rFonts w:hint="default"/>
        <w:b w:val="0"/>
        <w:i w:val="0"/>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72">
    <w:nsid w:val="752B37AC"/>
    <w:multiLevelType w:val="multilevel"/>
    <w:tmpl w:val="F5D807EE"/>
    <w:lvl w:ilvl="0">
      <w:start w:val="1"/>
      <w:numFmt w:val="none"/>
      <w:suff w:val="nothing"/>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pStyle w:val="Heading7"/>
      <w:suff w:val="nothing"/>
      <w:lvlJc w:val="left"/>
      <w:pPr>
        <w:ind w:left="0" w:firstLine="0"/>
      </w:pPr>
      <w:rPr>
        <w:rFonts w:hint="default"/>
        <w:b w:val="0"/>
      </w:rPr>
    </w:lvl>
    <w:lvl w:ilvl="8">
      <w:start w:val="1"/>
      <w:numFmt w:val="none"/>
      <w:pStyle w:val="Heading8"/>
      <w:suff w:val="nothing"/>
      <w:lvlJc w:val="left"/>
      <w:pPr>
        <w:ind w:left="0" w:firstLine="0"/>
      </w:pPr>
      <w:rPr>
        <w:rFonts w:hint="default"/>
        <w:b w:val="0"/>
      </w:rPr>
    </w:lvl>
  </w:abstractNum>
  <w:abstractNum w:abstractNumId="73">
    <w:nsid w:val="761C560F"/>
    <w:multiLevelType w:val="multilevel"/>
    <w:tmpl w:val="CC54312C"/>
    <w:lvl w:ilvl="0">
      <w:start w:val="1"/>
      <w:numFmt w:val="decimal"/>
      <w:pStyle w:val="ssq2"/>
      <w:suff w:val="nothing"/>
      <w:lvlText w:val="جدول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74">
    <w:nsid w:val="7A2C410F"/>
    <w:multiLevelType w:val="hybridMultilevel"/>
    <w:tmpl w:val="929CD210"/>
    <w:lvl w:ilvl="0">
      <w:start w:val="1"/>
      <w:numFmt w:val="decimal"/>
      <w:pStyle w:val="ssUserEntryNumbered"/>
      <w:lvlText w:val="(%1)"/>
      <w:lvlJc w:val="left"/>
      <w:pPr>
        <w:tabs>
          <w:tab w:val="num" w:pos="851"/>
        </w:tabs>
        <w:ind w:left="851" w:hanging="851"/>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A7E11C9"/>
    <w:multiLevelType w:val="multilevel"/>
    <w:tmpl w:val="BFFE0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nsid w:val="7B8037EF"/>
    <w:multiLevelType w:val="multilevel"/>
    <w:tmpl w:val="7F0ECB28"/>
    <w:lvl w:ilvl="0">
      <w:start w:val="1"/>
      <w:numFmt w:val="decimal"/>
      <w:pStyle w:val="ssqAnhang"/>
      <w:suff w:val="nothing"/>
      <w:lvlText w:val="anhang %1"/>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77">
    <w:nsid w:val="7D1C766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5"/>
  </w:num>
  <w:num w:numId="2">
    <w:abstractNumId w:val="29"/>
  </w:num>
  <w:num w:numId="3">
    <w:abstractNumId w:val="56"/>
  </w:num>
  <w:num w:numId="4">
    <w:abstractNumId w:val="76"/>
  </w:num>
  <w:num w:numId="5">
    <w:abstractNumId w:val="23"/>
  </w:num>
  <w:num w:numId="6">
    <w:abstractNumId w:val="30"/>
  </w:num>
  <w:num w:numId="7">
    <w:abstractNumId w:val="62"/>
  </w:num>
  <w:num w:numId="8">
    <w:abstractNumId w:val="41"/>
  </w:num>
  <w:num w:numId="9">
    <w:abstractNumId w:val="63"/>
  </w:num>
  <w:num w:numId="10">
    <w:abstractNumId w:val="67"/>
  </w:num>
  <w:num w:numId="11">
    <w:abstractNumId w:val="15"/>
  </w:num>
  <w:num w:numId="12">
    <w:abstractNumId w:val="38"/>
  </w:num>
  <w:num w:numId="13">
    <w:abstractNumId w:val="18"/>
  </w:num>
  <w:num w:numId="14">
    <w:abstractNumId w:val="50"/>
  </w:num>
  <w:num w:numId="15">
    <w:abstractNumId w:val="16"/>
  </w:num>
  <w:num w:numId="16">
    <w:abstractNumId w:val="52"/>
  </w:num>
  <w:num w:numId="17">
    <w:abstractNumId w:val="61"/>
  </w:num>
  <w:num w:numId="18">
    <w:abstractNumId w:val="69"/>
  </w:num>
  <w:num w:numId="19">
    <w:abstractNumId w:val="26"/>
  </w:num>
  <w:num w:numId="20">
    <w:abstractNumId w:val="65"/>
  </w:num>
  <w:num w:numId="21">
    <w:abstractNumId w:val="45"/>
  </w:num>
  <w:num w:numId="22">
    <w:abstractNumId w:val="44"/>
  </w:num>
  <w:num w:numId="23">
    <w:abstractNumId w:val="34"/>
  </w:num>
  <w:num w:numId="24">
    <w:abstractNumId w:val="25"/>
  </w:num>
  <w:num w:numId="25">
    <w:abstractNumId w:val="57"/>
  </w:num>
  <w:num w:numId="26">
    <w:abstractNumId w:val="27"/>
  </w:num>
  <w:num w:numId="27">
    <w:abstractNumId w:val="46"/>
  </w:num>
  <w:num w:numId="28">
    <w:abstractNumId w:val="73"/>
  </w:num>
  <w:num w:numId="29">
    <w:abstractNumId w:val="70"/>
  </w:num>
  <w:num w:numId="30">
    <w:abstractNumId w:val="12"/>
  </w:num>
  <w:num w:numId="31">
    <w:abstractNumId w:val="64"/>
  </w:num>
  <w:num w:numId="32">
    <w:abstractNumId w:val="31"/>
  </w:num>
  <w:num w:numId="33">
    <w:abstractNumId w:val="42"/>
  </w:num>
  <w:num w:numId="34">
    <w:abstractNumId w:val="37"/>
  </w:num>
  <w:num w:numId="35">
    <w:abstractNumId w:val="60"/>
  </w:num>
  <w:num w:numId="36">
    <w:abstractNumId w:val="20"/>
  </w:num>
  <w:num w:numId="37">
    <w:abstractNumId w:val="48"/>
  </w:num>
  <w:num w:numId="38">
    <w:abstractNumId w:val="11"/>
  </w:num>
  <w:num w:numId="39">
    <w:abstractNumId w:val="14"/>
  </w:num>
  <w:num w:numId="40">
    <w:abstractNumId w:val="53"/>
  </w:num>
  <w:num w:numId="41">
    <w:abstractNumId w:val="74"/>
  </w:num>
  <w:num w:numId="42">
    <w:abstractNumId w:val="24"/>
  </w:num>
  <w:num w:numId="43">
    <w:abstractNumId w:val="49"/>
  </w:num>
  <w:num w:numId="44">
    <w:abstractNumId w:val="21"/>
  </w:num>
  <w:num w:numId="45">
    <w:abstractNumId w:val="39"/>
  </w:num>
  <w:num w:numId="46">
    <w:abstractNumId w:val="40"/>
  </w:num>
  <w:num w:numId="47">
    <w:abstractNumId w:val="13"/>
  </w:num>
  <w:num w:numId="48">
    <w:abstractNumId w:val="32"/>
  </w:num>
  <w:num w:numId="49">
    <w:abstractNumId w:val="54"/>
  </w:num>
  <w:num w:numId="50">
    <w:abstractNumId w:val="36"/>
  </w:num>
  <w:num w:numId="51">
    <w:abstractNumId w:val="47"/>
  </w:num>
  <w:num w:numId="52">
    <w:abstractNumId w:val="72"/>
  </w:num>
  <w:num w:numId="53">
    <w:abstractNumId w:val="28"/>
  </w:num>
  <w:num w:numId="54">
    <w:abstractNumId w:val="68"/>
  </w:num>
  <w:num w:numId="55">
    <w:abstractNumId w:val="17"/>
  </w:num>
  <w:num w:numId="56">
    <w:abstractNumId w:val="35"/>
  </w:num>
  <w:num w:numId="57">
    <w:abstractNumId w:val="58"/>
  </w:num>
  <w:num w:numId="58">
    <w:abstractNumId w:val="77"/>
  </w:num>
  <w:num w:numId="59">
    <w:abstractNumId w:val="43"/>
  </w:num>
  <w:num w:numId="60">
    <w:abstractNumId w:val="33"/>
  </w:num>
  <w:num w:numId="61">
    <w:abstractNumId w:val="9"/>
  </w:num>
  <w:num w:numId="62">
    <w:abstractNumId w:val="7"/>
  </w:num>
  <w:num w:numId="63">
    <w:abstractNumId w:val="6"/>
  </w:num>
  <w:num w:numId="64">
    <w:abstractNumId w:val="5"/>
  </w:num>
  <w:num w:numId="65">
    <w:abstractNumId w:val="4"/>
  </w:num>
  <w:num w:numId="66">
    <w:abstractNumId w:val="8"/>
  </w:num>
  <w:num w:numId="67">
    <w:abstractNumId w:val="3"/>
  </w:num>
  <w:num w:numId="68">
    <w:abstractNumId w:val="2"/>
  </w:num>
  <w:num w:numId="69">
    <w:abstractNumId w:val="1"/>
  </w:num>
  <w:num w:numId="70">
    <w:abstractNumId w:val="0"/>
  </w:num>
  <w:num w:numId="71">
    <w:abstractNumId w:val="54"/>
  </w:num>
  <w:num w:numId="72">
    <w:abstractNumId w:val="19"/>
  </w:num>
  <w:num w:numId="73">
    <w:abstractNumId w:val="66"/>
  </w:num>
  <w:num w:numId="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8"/>
  </w:num>
  <w:num w:numId="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7"/>
  </w:num>
  <w:num w:numId="81">
    <w:abstractNumId w:val="59"/>
  </w:num>
  <w:num w:numId="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7"/>
  </w:num>
  <w:num w:numId="84">
    <w:abstractNumId w:val="47"/>
  </w:num>
  <w:num w:numId="85">
    <w:abstractNumId w:val="47"/>
  </w:num>
  <w:num w:numId="86">
    <w:abstractNumId w:val="47"/>
  </w:num>
  <w:num w:numId="87">
    <w:abstractNumId w:val="47"/>
  </w:num>
  <w:num w:numId="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7"/>
  </w:num>
  <w:num w:numId="90">
    <w:abstractNumId w:val="47"/>
  </w:num>
  <w:num w:numId="91">
    <w:abstractNumId w:val="47"/>
  </w:num>
  <w:num w:numId="92">
    <w:abstractNumId w:val="47"/>
  </w:num>
  <w:num w:numId="93">
    <w:abstractNumId w:val="47"/>
  </w:num>
  <w:num w:numId="94">
    <w:abstractNumId w:val="47"/>
  </w:num>
  <w:num w:numId="95">
    <w:abstractNumId w:val="47"/>
  </w:num>
  <w:num w:numId="9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91"/>
    <w:rsid w:val="0000064B"/>
    <w:rsid w:val="00000D5E"/>
    <w:rsid w:val="00001387"/>
    <w:rsid w:val="00001724"/>
    <w:rsid w:val="00002088"/>
    <w:rsid w:val="000031A5"/>
    <w:rsid w:val="0000323A"/>
    <w:rsid w:val="00003879"/>
    <w:rsid w:val="00004AB2"/>
    <w:rsid w:val="00005905"/>
    <w:rsid w:val="000060D3"/>
    <w:rsid w:val="00006580"/>
    <w:rsid w:val="00006BAD"/>
    <w:rsid w:val="00006F63"/>
    <w:rsid w:val="00007115"/>
    <w:rsid w:val="00007382"/>
    <w:rsid w:val="00007429"/>
    <w:rsid w:val="00010492"/>
    <w:rsid w:val="00010A89"/>
    <w:rsid w:val="00010ACB"/>
    <w:rsid w:val="00010C14"/>
    <w:rsid w:val="00011303"/>
    <w:rsid w:val="000115A1"/>
    <w:rsid w:val="00012AB5"/>
    <w:rsid w:val="0001320B"/>
    <w:rsid w:val="000134CD"/>
    <w:rsid w:val="000140C0"/>
    <w:rsid w:val="000141F7"/>
    <w:rsid w:val="00014A25"/>
    <w:rsid w:val="00014DCB"/>
    <w:rsid w:val="00015F1A"/>
    <w:rsid w:val="000160D9"/>
    <w:rsid w:val="000167B7"/>
    <w:rsid w:val="00016A00"/>
    <w:rsid w:val="00016C3C"/>
    <w:rsid w:val="000175A2"/>
    <w:rsid w:val="000176ED"/>
    <w:rsid w:val="0002037B"/>
    <w:rsid w:val="00021FBE"/>
    <w:rsid w:val="000225FE"/>
    <w:rsid w:val="00022B26"/>
    <w:rsid w:val="0002315F"/>
    <w:rsid w:val="00023177"/>
    <w:rsid w:val="000232BC"/>
    <w:rsid w:val="00024563"/>
    <w:rsid w:val="00024D3E"/>
    <w:rsid w:val="00024EB0"/>
    <w:rsid w:val="000250ED"/>
    <w:rsid w:val="000254E6"/>
    <w:rsid w:val="00026275"/>
    <w:rsid w:val="0002683D"/>
    <w:rsid w:val="00026CF9"/>
    <w:rsid w:val="00027570"/>
    <w:rsid w:val="00027686"/>
    <w:rsid w:val="0003038A"/>
    <w:rsid w:val="00030979"/>
    <w:rsid w:val="00030F3D"/>
    <w:rsid w:val="00031B1E"/>
    <w:rsid w:val="00031DD1"/>
    <w:rsid w:val="000327E5"/>
    <w:rsid w:val="00034C86"/>
    <w:rsid w:val="000352D7"/>
    <w:rsid w:val="0003545D"/>
    <w:rsid w:val="00035FC5"/>
    <w:rsid w:val="000375D6"/>
    <w:rsid w:val="000404CA"/>
    <w:rsid w:val="0004063C"/>
    <w:rsid w:val="000407DA"/>
    <w:rsid w:val="0004080B"/>
    <w:rsid w:val="00041C81"/>
    <w:rsid w:val="0004206A"/>
    <w:rsid w:val="000424BE"/>
    <w:rsid w:val="00043320"/>
    <w:rsid w:val="00043672"/>
    <w:rsid w:val="00043751"/>
    <w:rsid w:val="00043753"/>
    <w:rsid w:val="00043820"/>
    <w:rsid w:val="00044178"/>
    <w:rsid w:val="00044356"/>
    <w:rsid w:val="000447AC"/>
    <w:rsid w:val="0004489D"/>
    <w:rsid w:val="00044B62"/>
    <w:rsid w:val="00044E5C"/>
    <w:rsid w:val="00045297"/>
    <w:rsid w:val="000458A3"/>
    <w:rsid w:val="0004692C"/>
    <w:rsid w:val="00046E7E"/>
    <w:rsid w:val="000470E7"/>
    <w:rsid w:val="00047171"/>
    <w:rsid w:val="00047613"/>
    <w:rsid w:val="00047990"/>
    <w:rsid w:val="000500A7"/>
    <w:rsid w:val="000511F5"/>
    <w:rsid w:val="0005175F"/>
    <w:rsid w:val="00051C78"/>
    <w:rsid w:val="000523B6"/>
    <w:rsid w:val="00052A3F"/>
    <w:rsid w:val="00054112"/>
    <w:rsid w:val="0005447D"/>
    <w:rsid w:val="000547AB"/>
    <w:rsid w:val="00054E2A"/>
    <w:rsid w:val="00054ED1"/>
    <w:rsid w:val="00054F4B"/>
    <w:rsid w:val="000558FD"/>
    <w:rsid w:val="00055CCF"/>
    <w:rsid w:val="000563C2"/>
    <w:rsid w:val="000569CC"/>
    <w:rsid w:val="00056AA2"/>
    <w:rsid w:val="00056B23"/>
    <w:rsid w:val="00056E5D"/>
    <w:rsid w:val="00057018"/>
    <w:rsid w:val="0005722D"/>
    <w:rsid w:val="0005761E"/>
    <w:rsid w:val="0005777E"/>
    <w:rsid w:val="00060435"/>
    <w:rsid w:val="0006086C"/>
    <w:rsid w:val="00060C77"/>
    <w:rsid w:val="00061C94"/>
    <w:rsid w:val="0006243C"/>
    <w:rsid w:val="0006246D"/>
    <w:rsid w:val="00062CCA"/>
    <w:rsid w:val="000630AC"/>
    <w:rsid w:val="00064122"/>
    <w:rsid w:val="00064248"/>
    <w:rsid w:val="0006507D"/>
    <w:rsid w:val="00065826"/>
    <w:rsid w:val="00065FB7"/>
    <w:rsid w:val="000663A6"/>
    <w:rsid w:val="00067B79"/>
    <w:rsid w:val="00067CAB"/>
    <w:rsid w:val="0007102C"/>
    <w:rsid w:val="00071223"/>
    <w:rsid w:val="00071296"/>
    <w:rsid w:val="00071D9F"/>
    <w:rsid w:val="00072B26"/>
    <w:rsid w:val="00072BF7"/>
    <w:rsid w:val="00073208"/>
    <w:rsid w:val="0007494B"/>
    <w:rsid w:val="000749A4"/>
    <w:rsid w:val="00074DDD"/>
    <w:rsid w:val="00075035"/>
    <w:rsid w:val="0008009E"/>
    <w:rsid w:val="000809C5"/>
    <w:rsid w:val="000811C5"/>
    <w:rsid w:val="00081833"/>
    <w:rsid w:val="00082ADE"/>
    <w:rsid w:val="00082F4F"/>
    <w:rsid w:val="000831ED"/>
    <w:rsid w:val="000831F5"/>
    <w:rsid w:val="00083454"/>
    <w:rsid w:val="00083DFA"/>
    <w:rsid w:val="0008513F"/>
    <w:rsid w:val="000852ED"/>
    <w:rsid w:val="000856AD"/>
    <w:rsid w:val="0008570B"/>
    <w:rsid w:val="00085B4B"/>
    <w:rsid w:val="00085C5E"/>
    <w:rsid w:val="00087780"/>
    <w:rsid w:val="00087F35"/>
    <w:rsid w:val="00091A89"/>
    <w:rsid w:val="0009202F"/>
    <w:rsid w:val="00093105"/>
    <w:rsid w:val="000933C0"/>
    <w:rsid w:val="00093AD5"/>
    <w:rsid w:val="000943D1"/>
    <w:rsid w:val="0009453A"/>
    <w:rsid w:val="00094911"/>
    <w:rsid w:val="00094D08"/>
    <w:rsid w:val="000952CD"/>
    <w:rsid w:val="0009563E"/>
    <w:rsid w:val="00095ACC"/>
    <w:rsid w:val="00096A44"/>
    <w:rsid w:val="00096B8F"/>
    <w:rsid w:val="00096ED6"/>
    <w:rsid w:val="000979B9"/>
    <w:rsid w:val="000979E6"/>
    <w:rsid w:val="00097C0A"/>
    <w:rsid w:val="000A1219"/>
    <w:rsid w:val="000A161A"/>
    <w:rsid w:val="000A1A1F"/>
    <w:rsid w:val="000A1DAB"/>
    <w:rsid w:val="000A2866"/>
    <w:rsid w:val="000A2A7A"/>
    <w:rsid w:val="000A38B7"/>
    <w:rsid w:val="000A46D6"/>
    <w:rsid w:val="000A4C0B"/>
    <w:rsid w:val="000A5801"/>
    <w:rsid w:val="000A588C"/>
    <w:rsid w:val="000A5AF4"/>
    <w:rsid w:val="000A6744"/>
    <w:rsid w:val="000A6A2D"/>
    <w:rsid w:val="000A6FA3"/>
    <w:rsid w:val="000A7647"/>
    <w:rsid w:val="000A7A15"/>
    <w:rsid w:val="000A7F0E"/>
    <w:rsid w:val="000B231B"/>
    <w:rsid w:val="000B280B"/>
    <w:rsid w:val="000B2927"/>
    <w:rsid w:val="000B2BFE"/>
    <w:rsid w:val="000B2DCF"/>
    <w:rsid w:val="000B2F2B"/>
    <w:rsid w:val="000B3298"/>
    <w:rsid w:val="000B3EFB"/>
    <w:rsid w:val="000B416F"/>
    <w:rsid w:val="000B45EB"/>
    <w:rsid w:val="000B46F3"/>
    <w:rsid w:val="000B5DE3"/>
    <w:rsid w:val="000B62E4"/>
    <w:rsid w:val="000B6454"/>
    <w:rsid w:val="000B7A37"/>
    <w:rsid w:val="000C1A98"/>
    <w:rsid w:val="000C1C4B"/>
    <w:rsid w:val="000C3265"/>
    <w:rsid w:val="000C36BE"/>
    <w:rsid w:val="000C3983"/>
    <w:rsid w:val="000C3E00"/>
    <w:rsid w:val="000C46F8"/>
    <w:rsid w:val="000C4B87"/>
    <w:rsid w:val="000C5C5C"/>
    <w:rsid w:val="000C5C98"/>
    <w:rsid w:val="000C68B9"/>
    <w:rsid w:val="000C6D9D"/>
    <w:rsid w:val="000C755B"/>
    <w:rsid w:val="000D0379"/>
    <w:rsid w:val="000D0671"/>
    <w:rsid w:val="000D158F"/>
    <w:rsid w:val="000D19AA"/>
    <w:rsid w:val="000D1BDA"/>
    <w:rsid w:val="000D2E70"/>
    <w:rsid w:val="000D4047"/>
    <w:rsid w:val="000D43E7"/>
    <w:rsid w:val="000D45A4"/>
    <w:rsid w:val="000D7C97"/>
    <w:rsid w:val="000E0922"/>
    <w:rsid w:val="000E0ACC"/>
    <w:rsid w:val="000E0BFB"/>
    <w:rsid w:val="000E1196"/>
    <w:rsid w:val="000E120D"/>
    <w:rsid w:val="000E1934"/>
    <w:rsid w:val="000E1C62"/>
    <w:rsid w:val="000E2637"/>
    <w:rsid w:val="000E2C12"/>
    <w:rsid w:val="000E2D9C"/>
    <w:rsid w:val="000E383D"/>
    <w:rsid w:val="000E3E6E"/>
    <w:rsid w:val="000E3F53"/>
    <w:rsid w:val="000E6E80"/>
    <w:rsid w:val="000E7096"/>
    <w:rsid w:val="000E7995"/>
    <w:rsid w:val="000E79CE"/>
    <w:rsid w:val="000F0223"/>
    <w:rsid w:val="000F0692"/>
    <w:rsid w:val="000F07C5"/>
    <w:rsid w:val="000F0862"/>
    <w:rsid w:val="000F15E3"/>
    <w:rsid w:val="000F1747"/>
    <w:rsid w:val="000F2749"/>
    <w:rsid w:val="000F2AAE"/>
    <w:rsid w:val="000F2F42"/>
    <w:rsid w:val="000F36DE"/>
    <w:rsid w:val="000F38B3"/>
    <w:rsid w:val="000F3D33"/>
    <w:rsid w:val="000F43F5"/>
    <w:rsid w:val="000F4BD4"/>
    <w:rsid w:val="000F517E"/>
    <w:rsid w:val="000F52C1"/>
    <w:rsid w:val="000F5CA8"/>
    <w:rsid w:val="000F6F38"/>
    <w:rsid w:val="000F6FFD"/>
    <w:rsid w:val="000F7019"/>
    <w:rsid w:val="000F7D5C"/>
    <w:rsid w:val="000F7F62"/>
    <w:rsid w:val="000F7F72"/>
    <w:rsid w:val="00100983"/>
    <w:rsid w:val="00100E6B"/>
    <w:rsid w:val="00101241"/>
    <w:rsid w:val="0010429E"/>
    <w:rsid w:val="00105514"/>
    <w:rsid w:val="001060FD"/>
    <w:rsid w:val="001067AF"/>
    <w:rsid w:val="00107DAE"/>
    <w:rsid w:val="0011061B"/>
    <w:rsid w:val="001110A4"/>
    <w:rsid w:val="00111226"/>
    <w:rsid w:val="0011178A"/>
    <w:rsid w:val="00111BC4"/>
    <w:rsid w:val="00111C8B"/>
    <w:rsid w:val="001120DC"/>
    <w:rsid w:val="001125C7"/>
    <w:rsid w:val="001138DB"/>
    <w:rsid w:val="00114139"/>
    <w:rsid w:val="0011447B"/>
    <w:rsid w:val="0011454F"/>
    <w:rsid w:val="001148C9"/>
    <w:rsid w:val="00116B95"/>
    <w:rsid w:val="00116C4D"/>
    <w:rsid w:val="0011705B"/>
    <w:rsid w:val="001178A0"/>
    <w:rsid w:val="00117A6A"/>
    <w:rsid w:val="001207F1"/>
    <w:rsid w:val="00120964"/>
    <w:rsid w:val="00120AE1"/>
    <w:rsid w:val="0012332E"/>
    <w:rsid w:val="00123ADE"/>
    <w:rsid w:val="0012460B"/>
    <w:rsid w:val="00124631"/>
    <w:rsid w:val="00124FC2"/>
    <w:rsid w:val="001256E4"/>
    <w:rsid w:val="00126F90"/>
    <w:rsid w:val="0012789D"/>
    <w:rsid w:val="00127D10"/>
    <w:rsid w:val="00130731"/>
    <w:rsid w:val="00130A1C"/>
    <w:rsid w:val="00130E05"/>
    <w:rsid w:val="00131DD8"/>
    <w:rsid w:val="00133753"/>
    <w:rsid w:val="001339CF"/>
    <w:rsid w:val="00133A11"/>
    <w:rsid w:val="00133A7A"/>
    <w:rsid w:val="00134261"/>
    <w:rsid w:val="00134279"/>
    <w:rsid w:val="00134B31"/>
    <w:rsid w:val="00134E38"/>
    <w:rsid w:val="00135145"/>
    <w:rsid w:val="00135C41"/>
    <w:rsid w:val="00135DEC"/>
    <w:rsid w:val="00136127"/>
    <w:rsid w:val="0013712A"/>
    <w:rsid w:val="00137366"/>
    <w:rsid w:val="00137896"/>
    <w:rsid w:val="00137945"/>
    <w:rsid w:val="001403A0"/>
    <w:rsid w:val="00140AEC"/>
    <w:rsid w:val="00141872"/>
    <w:rsid w:val="0014375F"/>
    <w:rsid w:val="00143851"/>
    <w:rsid w:val="00143D5D"/>
    <w:rsid w:val="00144216"/>
    <w:rsid w:val="00144366"/>
    <w:rsid w:val="00144C31"/>
    <w:rsid w:val="00144CDD"/>
    <w:rsid w:val="00145786"/>
    <w:rsid w:val="00146970"/>
    <w:rsid w:val="001476DE"/>
    <w:rsid w:val="00147F38"/>
    <w:rsid w:val="00150A53"/>
    <w:rsid w:val="001510B4"/>
    <w:rsid w:val="0015137F"/>
    <w:rsid w:val="00151C8F"/>
    <w:rsid w:val="00152686"/>
    <w:rsid w:val="0015376A"/>
    <w:rsid w:val="00154949"/>
    <w:rsid w:val="00155005"/>
    <w:rsid w:val="0015569F"/>
    <w:rsid w:val="00156A96"/>
    <w:rsid w:val="00156F8A"/>
    <w:rsid w:val="001570C6"/>
    <w:rsid w:val="0015744C"/>
    <w:rsid w:val="00160D74"/>
    <w:rsid w:val="00161371"/>
    <w:rsid w:val="00162C9C"/>
    <w:rsid w:val="001634F4"/>
    <w:rsid w:val="00163BB5"/>
    <w:rsid w:val="00163FE7"/>
    <w:rsid w:val="00164691"/>
    <w:rsid w:val="0016489A"/>
    <w:rsid w:val="00164A90"/>
    <w:rsid w:val="00164F10"/>
    <w:rsid w:val="00165B4D"/>
    <w:rsid w:val="00165D8E"/>
    <w:rsid w:val="00165F28"/>
    <w:rsid w:val="0016603A"/>
    <w:rsid w:val="0016614A"/>
    <w:rsid w:val="001666AC"/>
    <w:rsid w:val="00166A6B"/>
    <w:rsid w:val="00166CFD"/>
    <w:rsid w:val="00166F03"/>
    <w:rsid w:val="00167DF9"/>
    <w:rsid w:val="00170FBA"/>
    <w:rsid w:val="00171076"/>
    <w:rsid w:val="00171F2F"/>
    <w:rsid w:val="00172340"/>
    <w:rsid w:val="00172788"/>
    <w:rsid w:val="00173D15"/>
    <w:rsid w:val="0017426D"/>
    <w:rsid w:val="00174E0A"/>
    <w:rsid w:val="00176254"/>
    <w:rsid w:val="00176357"/>
    <w:rsid w:val="00176818"/>
    <w:rsid w:val="00177011"/>
    <w:rsid w:val="00177047"/>
    <w:rsid w:val="00177150"/>
    <w:rsid w:val="00177A74"/>
    <w:rsid w:val="00180022"/>
    <w:rsid w:val="0018147E"/>
    <w:rsid w:val="0018229C"/>
    <w:rsid w:val="00182D30"/>
    <w:rsid w:val="00183670"/>
    <w:rsid w:val="00184109"/>
    <w:rsid w:val="001847AE"/>
    <w:rsid w:val="001848D0"/>
    <w:rsid w:val="001849F7"/>
    <w:rsid w:val="00184AFD"/>
    <w:rsid w:val="00184C5F"/>
    <w:rsid w:val="00185C0C"/>
    <w:rsid w:val="0018642B"/>
    <w:rsid w:val="00186F14"/>
    <w:rsid w:val="00187CE9"/>
    <w:rsid w:val="00190043"/>
    <w:rsid w:val="00190092"/>
    <w:rsid w:val="00190107"/>
    <w:rsid w:val="001903D0"/>
    <w:rsid w:val="00190C2A"/>
    <w:rsid w:val="00191C60"/>
    <w:rsid w:val="00192873"/>
    <w:rsid w:val="00192F65"/>
    <w:rsid w:val="00193306"/>
    <w:rsid w:val="00193971"/>
    <w:rsid w:val="001944D4"/>
    <w:rsid w:val="00194B5A"/>
    <w:rsid w:val="00195398"/>
    <w:rsid w:val="00195442"/>
    <w:rsid w:val="00195544"/>
    <w:rsid w:val="001960BF"/>
    <w:rsid w:val="00196462"/>
    <w:rsid w:val="001965B4"/>
    <w:rsid w:val="001968D3"/>
    <w:rsid w:val="001973A8"/>
    <w:rsid w:val="00197ACA"/>
    <w:rsid w:val="00197C9B"/>
    <w:rsid w:val="001A0E49"/>
    <w:rsid w:val="001A0F13"/>
    <w:rsid w:val="001A16BC"/>
    <w:rsid w:val="001A23A8"/>
    <w:rsid w:val="001A2704"/>
    <w:rsid w:val="001A27CB"/>
    <w:rsid w:val="001A33D8"/>
    <w:rsid w:val="001A3DC1"/>
    <w:rsid w:val="001A458D"/>
    <w:rsid w:val="001A467A"/>
    <w:rsid w:val="001A49AC"/>
    <w:rsid w:val="001A4BEA"/>
    <w:rsid w:val="001A525E"/>
    <w:rsid w:val="001A5B74"/>
    <w:rsid w:val="001A6518"/>
    <w:rsid w:val="001A7EDB"/>
    <w:rsid w:val="001B1D3B"/>
    <w:rsid w:val="001B4457"/>
    <w:rsid w:val="001B5034"/>
    <w:rsid w:val="001B57F6"/>
    <w:rsid w:val="001B6968"/>
    <w:rsid w:val="001C0528"/>
    <w:rsid w:val="001C0A6B"/>
    <w:rsid w:val="001C1EA5"/>
    <w:rsid w:val="001C20AD"/>
    <w:rsid w:val="001C3131"/>
    <w:rsid w:val="001C36D7"/>
    <w:rsid w:val="001C3761"/>
    <w:rsid w:val="001C3F9E"/>
    <w:rsid w:val="001C5152"/>
    <w:rsid w:val="001C59A8"/>
    <w:rsid w:val="001C633F"/>
    <w:rsid w:val="001C6629"/>
    <w:rsid w:val="001C6945"/>
    <w:rsid w:val="001C79E6"/>
    <w:rsid w:val="001D0084"/>
    <w:rsid w:val="001D37C9"/>
    <w:rsid w:val="001D4011"/>
    <w:rsid w:val="001D5BC3"/>
    <w:rsid w:val="001D5E9B"/>
    <w:rsid w:val="001D5F32"/>
    <w:rsid w:val="001D614D"/>
    <w:rsid w:val="001D7D1A"/>
    <w:rsid w:val="001D7D9B"/>
    <w:rsid w:val="001E0E90"/>
    <w:rsid w:val="001E0FA3"/>
    <w:rsid w:val="001E17D7"/>
    <w:rsid w:val="001E2113"/>
    <w:rsid w:val="001E221A"/>
    <w:rsid w:val="001E32AA"/>
    <w:rsid w:val="001E44BE"/>
    <w:rsid w:val="001E4B85"/>
    <w:rsid w:val="001E6368"/>
    <w:rsid w:val="001E6DF3"/>
    <w:rsid w:val="001E7BBB"/>
    <w:rsid w:val="001F08AD"/>
    <w:rsid w:val="001F13D9"/>
    <w:rsid w:val="001F1791"/>
    <w:rsid w:val="001F3ADE"/>
    <w:rsid w:val="001F3FEC"/>
    <w:rsid w:val="001F44D5"/>
    <w:rsid w:val="001F62EE"/>
    <w:rsid w:val="001F64F3"/>
    <w:rsid w:val="001F67D8"/>
    <w:rsid w:val="001F6956"/>
    <w:rsid w:val="001F7816"/>
    <w:rsid w:val="0020008E"/>
    <w:rsid w:val="002009E4"/>
    <w:rsid w:val="00201575"/>
    <w:rsid w:val="0020317C"/>
    <w:rsid w:val="00203B87"/>
    <w:rsid w:val="00204044"/>
    <w:rsid w:val="002040AC"/>
    <w:rsid w:val="00204568"/>
    <w:rsid w:val="00204C0A"/>
    <w:rsid w:val="00205701"/>
    <w:rsid w:val="00206333"/>
    <w:rsid w:val="0020634F"/>
    <w:rsid w:val="0020674E"/>
    <w:rsid w:val="002067B5"/>
    <w:rsid w:val="002068C6"/>
    <w:rsid w:val="00206C9A"/>
    <w:rsid w:val="00207D82"/>
    <w:rsid w:val="0021010E"/>
    <w:rsid w:val="002102E5"/>
    <w:rsid w:val="00210523"/>
    <w:rsid w:val="00210A3F"/>
    <w:rsid w:val="0021142C"/>
    <w:rsid w:val="00212C5F"/>
    <w:rsid w:val="00212F48"/>
    <w:rsid w:val="00213722"/>
    <w:rsid w:val="00213A3F"/>
    <w:rsid w:val="002145F3"/>
    <w:rsid w:val="0021530D"/>
    <w:rsid w:val="00215E7F"/>
    <w:rsid w:val="0021669D"/>
    <w:rsid w:val="002169F7"/>
    <w:rsid w:val="00216C46"/>
    <w:rsid w:val="00216CC1"/>
    <w:rsid w:val="002172F2"/>
    <w:rsid w:val="00217CCA"/>
    <w:rsid w:val="00220AA0"/>
    <w:rsid w:val="00220C13"/>
    <w:rsid w:val="0022111C"/>
    <w:rsid w:val="002214C5"/>
    <w:rsid w:val="0022254A"/>
    <w:rsid w:val="00222EAE"/>
    <w:rsid w:val="002233E4"/>
    <w:rsid w:val="00223BA5"/>
    <w:rsid w:val="0022456F"/>
    <w:rsid w:val="002250B2"/>
    <w:rsid w:val="002256D6"/>
    <w:rsid w:val="00225CF7"/>
    <w:rsid w:val="00225E85"/>
    <w:rsid w:val="002262EB"/>
    <w:rsid w:val="00227478"/>
    <w:rsid w:val="002277DF"/>
    <w:rsid w:val="00227E31"/>
    <w:rsid w:val="0023054E"/>
    <w:rsid w:val="0023142D"/>
    <w:rsid w:val="00232324"/>
    <w:rsid w:val="00232707"/>
    <w:rsid w:val="0023281C"/>
    <w:rsid w:val="00233755"/>
    <w:rsid w:val="002340DB"/>
    <w:rsid w:val="0023437F"/>
    <w:rsid w:val="00234643"/>
    <w:rsid w:val="00234DC7"/>
    <w:rsid w:val="0023649A"/>
    <w:rsid w:val="00237971"/>
    <w:rsid w:val="00240297"/>
    <w:rsid w:val="00240475"/>
    <w:rsid w:val="00240535"/>
    <w:rsid w:val="00240CBE"/>
    <w:rsid w:val="00241245"/>
    <w:rsid w:val="0024268B"/>
    <w:rsid w:val="002429DA"/>
    <w:rsid w:val="002432BD"/>
    <w:rsid w:val="00243304"/>
    <w:rsid w:val="00243354"/>
    <w:rsid w:val="00243B2A"/>
    <w:rsid w:val="0024458A"/>
    <w:rsid w:val="00244904"/>
    <w:rsid w:val="0024568D"/>
    <w:rsid w:val="00245878"/>
    <w:rsid w:val="00245D45"/>
    <w:rsid w:val="00246626"/>
    <w:rsid w:val="002466D0"/>
    <w:rsid w:val="0024734E"/>
    <w:rsid w:val="00247828"/>
    <w:rsid w:val="002479E6"/>
    <w:rsid w:val="00247FE6"/>
    <w:rsid w:val="00250120"/>
    <w:rsid w:val="00250264"/>
    <w:rsid w:val="00251CF8"/>
    <w:rsid w:val="00252521"/>
    <w:rsid w:val="00252742"/>
    <w:rsid w:val="00252BEF"/>
    <w:rsid w:val="00255BDA"/>
    <w:rsid w:val="0025624F"/>
    <w:rsid w:val="002576D2"/>
    <w:rsid w:val="00260099"/>
    <w:rsid w:val="0026009D"/>
    <w:rsid w:val="0026025B"/>
    <w:rsid w:val="00261BA8"/>
    <w:rsid w:val="00263815"/>
    <w:rsid w:val="00263935"/>
    <w:rsid w:val="00263F5E"/>
    <w:rsid w:val="002653A4"/>
    <w:rsid w:val="00267899"/>
    <w:rsid w:val="00267ABB"/>
    <w:rsid w:val="00270B0F"/>
    <w:rsid w:val="0027222D"/>
    <w:rsid w:val="00272F0C"/>
    <w:rsid w:val="00273F94"/>
    <w:rsid w:val="00274D75"/>
    <w:rsid w:val="00274E12"/>
    <w:rsid w:val="002751E9"/>
    <w:rsid w:val="00275C8C"/>
    <w:rsid w:val="00276057"/>
    <w:rsid w:val="00276523"/>
    <w:rsid w:val="0027664C"/>
    <w:rsid w:val="00277577"/>
    <w:rsid w:val="00277637"/>
    <w:rsid w:val="00277689"/>
    <w:rsid w:val="002779CB"/>
    <w:rsid w:val="00277EA0"/>
    <w:rsid w:val="002804F3"/>
    <w:rsid w:val="002805CD"/>
    <w:rsid w:val="00280FBE"/>
    <w:rsid w:val="00282DB6"/>
    <w:rsid w:val="002836DD"/>
    <w:rsid w:val="00283CE7"/>
    <w:rsid w:val="002840E6"/>
    <w:rsid w:val="00284469"/>
    <w:rsid w:val="0028599D"/>
    <w:rsid w:val="00286A3E"/>
    <w:rsid w:val="00287049"/>
    <w:rsid w:val="002871FE"/>
    <w:rsid w:val="002873CE"/>
    <w:rsid w:val="00287677"/>
    <w:rsid w:val="002915EC"/>
    <w:rsid w:val="00292563"/>
    <w:rsid w:val="00292A9C"/>
    <w:rsid w:val="002937D9"/>
    <w:rsid w:val="002938A9"/>
    <w:rsid w:val="00296657"/>
    <w:rsid w:val="00296659"/>
    <w:rsid w:val="0029793B"/>
    <w:rsid w:val="002A0288"/>
    <w:rsid w:val="002A058F"/>
    <w:rsid w:val="002A0782"/>
    <w:rsid w:val="002A232E"/>
    <w:rsid w:val="002A25A2"/>
    <w:rsid w:val="002A2894"/>
    <w:rsid w:val="002A38DD"/>
    <w:rsid w:val="002A565B"/>
    <w:rsid w:val="002A5CE3"/>
    <w:rsid w:val="002A5D2A"/>
    <w:rsid w:val="002A5D2E"/>
    <w:rsid w:val="002A6198"/>
    <w:rsid w:val="002A6353"/>
    <w:rsid w:val="002A659F"/>
    <w:rsid w:val="002A6B6A"/>
    <w:rsid w:val="002A6B92"/>
    <w:rsid w:val="002A6DC3"/>
    <w:rsid w:val="002A7C16"/>
    <w:rsid w:val="002B03FB"/>
    <w:rsid w:val="002B0E43"/>
    <w:rsid w:val="002B0F01"/>
    <w:rsid w:val="002B1134"/>
    <w:rsid w:val="002B1295"/>
    <w:rsid w:val="002B1C5C"/>
    <w:rsid w:val="002B1E80"/>
    <w:rsid w:val="002B299E"/>
    <w:rsid w:val="002B2ED7"/>
    <w:rsid w:val="002B301D"/>
    <w:rsid w:val="002B429A"/>
    <w:rsid w:val="002B4AE9"/>
    <w:rsid w:val="002B4B8C"/>
    <w:rsid w:val="002B6040"/>
    <w:rsid w:val="002B6154"/>
    <w:rsid w:val="002B6CF1"/>
    <w:rsid w:val="002B6D83"/>
    <w:rsid w:val="002B72DF"/>
    <w:rsid w:val="002B7421"/>
    <w:rsid w:val="002C0E3A"/>
    <w:rsid w:val="002C163C"/>
    <w:rsid w:val="002C1A34"/>
    <w:rsid w:val="002C210D"/>
    <w:rsid w:val="002C2521"/>
    <w:rsid w:val="002C39FB"/>
    <w:rsid w:val="002C3B65"/>
    <w:rsid w:val="002C3DDC"/>
    <w:rsid w:val="002C43F2"/>
    <w:rsid w:val="002C52A5"/>
    <w:rsid w:val="002C5630"/>
    <w:rsid w:val="002C5BB8"/>
    <w:rsid w:val="002C5EFC"/>
    <w:rsid w:val="002C5FB6"/>
    <w:rsid w:val="002C6469"/>
    <w:rsid w:val="002C711B"/>
    <w:rsid w:val="002C7181"/>
    <w:rsid w:val="002C7F85"/>
    <w:rsid w:val="002D10D8"/>
    <w:rsid w:val="002D16A1"/>
    <w:rsid w:val="002D173F"/>
    <w:rsid w:val="002D1D99"/>
    <w:rsid w:val="002D2949"/>
    <w:rsid w:val="002D31A3"/>
    <w:rsid w:val="002D383C"/>
    <w:rsid w:val="002D3C91"/>
    <w:rsid w:val="002D4A56"/>
    <w:rsid w:val="002D5764"/>
    <w:rsid w:val="002D68B1"/>
    <w:rsid w:val="002D7098"/>
    <w:rsid w:val="002D7EAA"/>
    <w:rsid w:val="002E00BB"/>
    <w:rsid w:val="002E05C0"/>
    <w:rsid w:val="002E05D9"/>
    <w:rsid w:val="002E0DDB"/>
    <w:rsid w:val="002E11CB"/>
    <w:rsid w:val="002E1FF9"/>
    <w:rsid w:val="002E2CEE"/>
    <w:rsid w:val="002E2FAC"/>
    <w:rsid w:val="002E2FEF"/>
    <w:rsid w:val="002E3F03"/>
    <w:rsid w:val="002E43A4"/>
    <w:rsid w:val="002E51DC"/>
    <w:rsid w:val="002E53CE"/>
    <w:rsid w:val="002E5E09"/>
    <w:rsid w:val="002E5E1E"/>
    <w:rsid w:val="002E613E"/>
    <w:rsid w:val="002E6961"/>
    <w:rsid w:val="002E6BA3"/>
    <w:rsid w:val="002E7AA0"/>
    <w:rsid w:val="002E7C33"/>
    <w:rsid w:val="002E7CD5"/>
    <w:rsid w:val="002F170C"/>
    <w:rsid w:val="002F1CB2"/>
    <w:rsid w:val="002F2CF5"/>
    <w:rsid w:val="002F2F4A"/>
    <w:rsid w:val="002F3908"/>
    <w:rsid w:val="002F41FB"/>
    <w:rsid w:val="002F445A"/>
    <w:rsid w:val="002F5834"/>
    <w:rsid w:val="002F7187"/>
    <w:rsid w:val="002F787C"/>
    <w:rsid w:val="002F7E15"/>
    <w:rsid w:val="003001B9"/>
    <w:rsid w:val="003016F8"/>
    <w:rsid w:val="00301F16"/>
    <w:rsid w:val="00302790"/>
    <w:rsid w:val="00302DFD"/>
    <w:rsid w:val="00302F00"/>
    <w:rsid w:val="003032F0"/>
    <w:rsid w:val="003035AD"/>
    <w:rsid w:val="003035C6"/>
    <w:rsid w:val="0030420B"/>
    <w:rsid w:val="00304EBF"/>
    <w:rsid w:val="003063C7"/>
    <w:rsid w:val="0030677A"/>
    <w:rsid w:val="003101C4"/>
    <w:rsid w:val="0031026D"/>
    <w:rsid w:val="0031062A"/>
    <w:rsid w:val="00311C5E"/>
    <w:rsid w:val="00311E19"/>
    <w:rsid w:val="00313171"/>
    <w:rsid w:val="003134DC"/>
    <w:rsid w:val="00314286"/>
    <w:rsid w:val="0031460A"/>
    <w:rsid w:val="003147DF"/>
    <w:rsid w:val="00314969"/>
    <w:rsid w:val="00315420"/>
    <w:rsid w:val="0031602C"/>
    <w:rsid w:val="00316238"/>
    <w:rsid w:val="003171C0"/>
    <w:rsid w:val="00317736"/>
    <w:rsid w:val="00317C0E"/>
    <w:rsid w:val="00317FDA"/>
    <w:rsid w:val="00321CBC"/>
    <w:rsid w:val="00323088"/>
    <w:rsid w:val="00324065"/>
    <w:rsid w:val="003245E0"/>
    <w:rsid w:val="00324705"/>
    <w:rsid w:val="00324BDE"/>
    <w:rsid w:val="00325685"/>
    <w:rsid w:val="00325877"/>
    <w:rsid w:val="00325C36"/>
    <w:rsid w:val="00325DF6"/>
    <w:rsid w:val="00326CCD"/>
    <w:rsid w:val="00327AB9"/>
    <w:rsid w:val="00327B45"/>
    <w:rsid w:val="00331036"/>
    <w:rsid w:val="00331942"/>
    <w:rsid w:val="0033274E"/>
    <w:rsid w:val="003330A8"/>
    <w:rsid w:val="003334D7"/>
    <w:rsid w:val="003336A3"/>
    <w:rsid w:val="00333AC7"/>
    <w:rsid w:val="00333BD3"/>
    <w:rsid w:val="003340CC"/>
    <w:rsid w:val="0033458C"/>
    <w:rsid w:val="00335092"/>
    <w:rsid w:val="00335714"/>
    <w:rsid w:val="0033641C"/>
    <w:rsid w:val="00336774"/>
    <w:rsid w:val="003374E3"/>
    <w:rsid w:val="00337688"/>
    <w:rsid w:val="00337963"/>
    <w:rsid w:val="0034024F"/>
    <w:rsid w:val="003409FF"/>
    <w:rsid w:val="00341878"/>
    <w:rsid w:val="00343351"/>
    <w:rsid w:val="00343C1C"/>
    <w:rsid w:val="00343F5A"/>
    <w:rsid w:val="00344077"/>
    <w:rsid w:val="00345306"/>
    <w:rsid w:val="0034545A"/>
    <w:rsid w:val="003456C9"/>
    <w:rsid w:val="00345752"/>
    <w:rsid w:val="00346230"/>
    <w:rsid w:val="00346B75"/>
    <w:rsid w:val="00346EF6"/>
    <w:rsid w:val="00346FCD"/>
    <w:rsid w:val="0034724D"/>
    <w:rsid w:val="00347918"/>
    <w:rsid w:val="00350492"/>
    <w:rsid w:val="00350CC2"/>
    <w:rsid w:val="00350DCD"/>
    <w:rsid w:val="0035101A"/>
    <w:rsid w:val="003533FB"/>
    <w:rsid w:val="00354A78"/>
    <w:rsid w:val="00355068"/>
    <w:rsid w:val="003551C6"/>
    <w:rsid w:val="0035536B"/>
    <w:rsid w:val="00355375"/>
    <w:rsid w:val="00355E16"/>
    <w:rsid w:val="00356137"/>
    <w:rsid w:val="003569C7"/>
    <w:rsid w:val="00357876"/>
    <w:rsid w:val="00357F9C"/>
    <w:rsid w:val="00361071"/>
    <w:rsid w:val="0036192D"/>
    <w:rsid w:val="00361F13"/>
    <w:rsid w:val="00362433"/>
    <w:rsid w:val="00362631"/>
    <w:rsid w:val="00363466"/>
    <w:rsid w:val="003635DA"/>
    <w:rsid w:val="00363702"/>
    <w:rsid w:val="00363C71"/>
    <w:rsid w:val="00364181"/>
    <w:rsid w:val="0036599C"/>
    <w:rsid w:val="00365AEB"/>
    <w:rsid w:val="00365CA7"/>
    <w:rsid w:val="003661A4"/>
    <w:rsid w:val="00366E6F"/>
    <w:rsid w:val="003673BB"/>
    <w:rsid w:val="0036750C"/>
    <w:rsid w:val="00367639"/>
    <w:rsid w:val="00367904"/>
    <w:rsid w:val="00367AC2"/>
    <w:rsid w:val="00367B2E"/>
    <w:rsid w:val="0037141B"/>
    <w:rsid w:val="00371649"/>
    <w:rsid w:val="00371EA0"/>
    <w:rsid w:val="0037261E"/>
    <w:rsid w:val="00372681"/>
    <w:rsid w:val="00372FDC"/>
    <w:rsid w:val="003734F0"/>
    <w:rsid w:val="0037358B"/>
    <w:rsid w:val="00373FD4"/>
    <w:rsid w:val="00374319"/>
    <w:rsid w:val="00374624"/>
    <w:rsid w:val="00374E9A"/>
    <w:rsid w:val="0037520D"/>
    <w:rsid w:val="00375B46"/>
    <w:rsid w:val="003764FF"/>
    <w:rsid w:val="00376B62"/>
    <w:rsid w:val="003778A0"/>
    <w:rsid w:val="00377A0C"/>
    <w:rsid w:val="003810D7"/>
    <w:rsid w:val="0038120D"/>
    <w:rsid w:val="003822DB"/>
    <w:rsid w:val="00382D39"/>
    <w:rsid w:val="003833ED"/>
    <w:rsid w:val="003852F8"/>
    <w:rsid w:val="00385897"/>
    <w:rsid w:val="00385D44"/>
    <w:rsid w:val="0038646A"/>
    <w:rsid w:val="0038666C"/>
    <w:rsid w:val="003867A8"/>
    <w:rsid w:val="00386A4E"/>
    <w:rsid w:val="00387581"/>
    <w:rsid w:val="003879AD"/>
    <w:rsid w:val="003908AB"/>
    <w:rsid w:val="00390C2A"/>
    <w:rsid w:val="00391CCC"/>
    <w:rsid w:val="00393ABF"/>
    <w:rsid w:val="00394142"/>
    <w:rsid w:val="00394C6C"/>
    <w:rsid w:val="00395B06"/>
    <w:rsid w:val="00396593"/>
    <w:rsid w:val="00397375"/>
    <w:rsid w:val="00397CA7"/>
    <w:rsid w:val="00397EBA"/>
    <w:rsid w:val="00397ED2"/>
    <w:rsid w:val="003A099D"/>
    <w:rsid w:val="003A0AF9"/>
    <w:rsid w:val="003A1633"/>
    <w:rsid w:val="003A1D94"/>
    <w:rsid w:val="003A2179"/>
    <w:rsid w:val="003A34E8"/>
    <w:rsid w:val="003A3836"/>
    <w:rsid w:val="003A3DAC"/>
    <w:rsid w:val="003A4591"/>
    <w:rsid w:val="003A4B78"/>
    <w:rsid w:val="003A573C"/>
    <w:rsid w:val="003A57F7"/>
    <w:rsid w:val="003A5EED"/>
    <w:rsid w:val="003A6040"/>
    <w:rsid w:val="003A6E2A"/>
    <w:rsid w:val="003A78D3"/>
    <w:rsid w:val="003A7922"/>
    <w:rsid w:val="003A7F5A"/>
    <w:rsid w:val="003B0AD7"/>
    <w:rsid w:val="003B0B20"/>
    <w:rsid w:val="003B106B"/>
    <w:rsid w:val="003B2413"/>
    <w:rsid w:val="003B264B"/>
    <w:rsid w:val="003B2D5E"/>
    <w:rsid w:val="003B2F37"/>
    <w:rsid w:val="003B3215"/>
    <w:rsid w:val="003B370D"/>
    <w:rsid w:val="003B3716"/>
    <w:rsid w:val="003B3F7B"/>
    <w:rsid w:val="003B478D"/>
    <w:rsid w:val="003B4FCC"/>
    <w:rsid w:val="003B541F"/>
    <w:rsid w:val="003B5E43"/>
    <w:rsid w:val="003B615B"/>
    <w:rsid w:val="003B6373"/>
    <w:rsid w:val="003B662F"/>
    <w:rsid w:val="003B6EB9"/>
    <w:rsid w:val="003B71AC"/>
    <w:rsid w:val="003B7807"/>
    <w:rsid w:val="003B7A9C"/>
    <w:rsid w:val="003C043B"/>
    <w:rsid w:val="003C0B79"/>
    <w:rsid w:val="003C0F5D"/>
    <w:rsid w:val="003C2DDD"/>
    <w:rsid w:val="003C3996"/>
    <w:rsid w:val="003C3B06"/>
    <w:rsid w:val="003C429E"/>
    <w:rsid w:val="003C44F0"/>
    <w:rsid w:val="003C4DB4"/>
    <w:rsid w:val="003C5C91"/>
    <w:rsid w:val="003C72AC"/>
    <w:rsid w:val="003D00D3"/>
    <w:rsid w:val="003D0918"/>
    <w:rsid w:val="003D0A43"/>
    <w:rsid w:val="003D10D8"/>
    <w:rsid w:val="003D16A5"/>
    <w:rsid w:val="003D2615"/>
    <w:rsid w:val="003D392C"/>
    <w:rsid w:val="003D4388"/>
    <w:rsid w:val="003D4715"/>
    <w:rsid w:val="003D49EA"/>
    <w:rsid w:val="003D49F6"/>
    <w:rsid w:val="003D5032"/>
    <w:rsid w:val="003D50BC"/>
    <w:rsid w:val="003D529B"/>
    <w:rsid w:val="003D538E"/>
    <w:rsid w:val="003D719D"/>
    <w:rsid w:val="003D7C69"/>
    <w:rsid w:val="003E0020"/>
    <w:rsid w:val="003E04F9"/>
    <w:rsid w:val="003E10D0"/>
    <w:rsid w:val="003E175D"/>
    <w:rsid w:val="003E1CCA"/>
    <w:rsid w:val="003E21C8"/>
    <w:rsid w:val="003E2B40"/>
    <w:rsid w:val="003E2C68"/>
    <w:rsid w:val="003E33E0"/>
    <w:rsid w:val="003E379F"/>
    <w:rsid w:val="003E39A4"/>
    <w:rsid w:val="003E3C28"/>
    <w:rsid w:val="003E4212"/>
    <w:rsid w:val="003E4D96"/>
    <w:rsid w:val="003E5B96"/>
    <w:rsid w:val="003E695D"/>
    <w:rsid w:val="003E6C69"/>
    <w:rsid w:val="003E718E"/>
    <w:rsid w:val="003E7B8B"/>
    <w:rsid w:val="003E7C30"/>
    <w:rsid w:val="003F0498"/>
    <w:rsid w:val="003F0755"/>
    <w:rsid w:val="003F1A2A"/>
    <w:rsid w:val="003F1CEA"/>
    <w:rsid w:val="003F2639"/>
    <w:rsid w:val="003F28AE"/>
    <w:rsid w:val="003F33CE"/>
    <w:rsid w:val="003F4FC3"/>
    <w:rsid w:val="003F54FB"/>
    <w:rsid w:val="003F556B"/>
    <w:rsid w:val="003F5D4F"/>
    <w:rsid w:val="003F6742"/>
    <w:rsid w:val="003F6C09"/>
    <w:rsid w:val="003F7597"/>
    <w:rsid w:val="00400E0F"/>
    <w:rsid w:val="0040210B"/>
    <w:rsid w:val="00402C6B"/>
    <w:rsid w:val="004030AF"/>
    <w:rsid w:val="004045B0"/>
    <w:rsid w:val="00404E0F"/>
    <w:rsid w:val="004056DD"/>
    <w:rsid w:val="0040597D"/>
    <w:rsid w:val="004078CF"/>
    <w:rsid w:val="00410293"/>
    <w:rsid w:val="004108B5"/>
    <w:rsid w:val="0041096F"/>
    <w:rsid w:val="00412490"/>
    <w:rsid w:val="004128E8"/>
    <w:rsid w:val="004129E5"/>
    <w:rsid w:val="00412B27"/>
    <w:rsid w:val="0041313A"/>
    <w:rsid w:val="00413F8E"/>
    <w:rsid w:val="00414048"/>
    <w:rsid w:val="004149DA"/>
    <w:rsid w:val="00414C1F"/>
    <w:rsid w:val="00414E53"/>
    <w:rsid w:val="00414ED0"/>
    <w:rsid w:val="0041697B"/>
    <w:rsid w:val="004170CE"/>
    <w:rsid w:val="0041716A"/>
    <w:rsid w:val="004172D5"/>
    <w:rsid w:val="00417515"/>
    <w:rsid w:val="004176A7"/>
    <w:rsid w:val="00417E5D"/>
    <w:rsid w:val="00420CB8"/>
    <w:rsid w:val="00424102"/>
    <w:rsid w:val="00424191"/>
    <w:rsid w:val="004243C3"/>
    <w:rsid w:val="00424FF0"/>
    <w:rsid w:val="0042612B"/>
    <w:rsid w:val="004263B0"/>
    <w:rsid w:val="0042643E"/>
    <w:rsid w:val="004268CD"/>
    <w:rsid w:val="00426E8D"/>
    <w:rsid w:val="00427850"/>
    <w:rsid w:val="004278C7"/>
    <w:rsid w:val="00427A75"/>
    <w:rsid w:val="00430176"/>
    <w:rsid w:val="00430B9A"/>
    <w:rsid w:val="00431738"/>
    <w:rsid w:val="00431C23"/>
    <w:rsid w:val="00431EBC"/>
    <w:rsid w:val="00432C33"/>
    <w:rsid w:val="00433C33"/>
    <w:rsid w:val="00433CF3"/>
    <w:rsid w:val="00433D94"/>
    <w:rsid w:val="00434225"/>
    <w:rsid w:val="0043423F"/>
    <w:rsid w:val="004357E6"/>
    <w:rsid w:val="0043626E"/>
    <w:rsid w:val="004362A3"/>
    <w:rsid w:val="004363C4"/>
    <w:rsid w:val="0043693E"/>
    <w:rsid w:val="00436D9F"/>
    <w:rsid w:val="00437637"/>
    <w:rsid w:val="00440082"/>
    <w:rsid w:val="004408F1"/>
    <w:rsid w:val="004413D0"/>
    <w:rsid w:val="004420DB"/>
    <w:rsid w:val="00442621"/>
    <w:rsid w:val="00442A15"/>
    <w:rsid w:val="00442D40"/>
    <w:rsid w:val="00442F62"/>
    <w:rsid w:val="00443012"/>
    <w:rsid w:val="004434BE"/>
    <w:rsid w:val="0044401C"/>
    <w:rsid w:val="004443CD"/>
    <w:rsid w:val="00444491"/>
    <w:rsid w:val="00444DB7"/>
    <w:rsid w:val="00445467"/>
    <w:rsid w:val="0044557F"/>
    <w:rsid w:val="004456CB"/>
    <w:rsid w:val="004462BD"/>
    <w:rsid w:val="00446333"/>
    <w:rsid w:val="00450377"/>
    <w:rsid w:val="004517E7"/>
    <w:rsid w:val="00451A22"/>
    <w:rsid w:val="00452AB7"/>
    <w:rsid w:val="00453B21"/>
    <w:rsid w:val="00455042"/>
    <w:rsid w:val="00455734"/>
    <w:rsid w:val="004558D6"/>
    <w:rsid w:val="00455A1A"/>
    <w:rsid w:val="004563EB"/>
    <w:rsid w:val="00457391"/>
    <w:rsid w:val="00457B68"/>
    <w:rsid w:val="00457E41"/>
    <w:rsid w:val="0046004E"/>
    <w:rsid w:val="00460807"/>
    <w:rsid w:val="00460B2A"/>
    <w:rsid w:val="00461F03"/>
    <w:rsid w:val="00462051"/>
    <w:rsid w:val="00462AE3"/>
    <w:rsid w:val="00462B80"/>
    <w:rsid w:val="00463193"/>
    <w:rsid w:val="00463329"/>
    <w:rsid w:val="004633EC"/>
    <w:rsid w:val="00463A02"/>
    <w:rsid w:val="004644CB"/>
    <w:rsid w:val="00464844"/>
    <w:rsid w:val="00464B05"/>
    <w:rsid w:val="00465074"/>
    <w:rsid w:val="00465953"/>
    <w:rsid w:val="00467BA2"/>
    <w:rsid w:val="00470917"/>
    <w:rsid w:val="00472965"/>
    <w:rsid w:val="00472CA2"/>
    <w:rsid w:val="00473216"/>
    <w:rsid w:val="004736AC"/>
    <w:rsid w:val="00473A87"/>
    <w:rsid w:val="00473AA6"/>
    <w:rsid w:val="00473D42"/>
    <w:rsid w:val="00474516"/>
    <w:rsid w:val="00474F23"/>
    <w:rsid w:val="0047603B"/>
    <w:rsid w:val="00476B9D"/>
    <w:rsid w:val="0047791F"/>
    <w:rsid w:val="00480355"/>
    <w:rsid w:val="00480565"/>
    <w:rsid w:val="004807BC"/>
    <w:rsid w:val="00480BFB"/>
    <w:rsid w:val="00480DD4"/>
    <w:rsid w:val="00481431"/>
    <w:rsid w:val="00481682"/>
    <w:rsid w:val="00482783"/>
    <w:rsid w:val="00482F7A"/>
    <w:rsid w:val="00483953"/>
    <w:rsid w:val="004849B6"/>
    <w:rsid w:val="00484C8E"/>
    <w:rsid w:val="00485502"/>
    <w:rsid w:val="00485B3F"/>
    <w:rsid w:val="00486D2C"/>
    <w:rsid w:val="00486FAA"/>
    <w:rsid w:val="00487D9F"/>
    <w:rsid w:val="00490058"/>
    <w:rsid w:val="00490791"/>
    <w:rsid w:val="00490D6F"/>
    <w:rsid w:val="00491AD9"/>
    <w:rsid w:val="004928A1"/>
    <w:rsid w:val="00492EFF"/>
    <w:rsid w:val="00493ADC"/>
    <w:rsid w:val="004950C1"/>
    <w:rsid w:val="00495E97"/>
    <w:rsid w:val="00496158"/>
    <w:rsid w:val="004961A0"/>
    <w:rsid w:val="00496493"/>
    <w:rsid w:val="00496ADA"/>
    <w:rsid w:val="0049796E"/>
    <w:rsid w:val="004A0DB4"/>
    <w:rsid w:val="004A1340"/>
    <w:rsid w:val="004A2529"/>
    <w:rsid w:val="004A360E"/>
    <w:rsid w:val="004A5142"/>
    <w:rsid w:val="004A63B4"/>
    <w:rsid w:val="004A7E94"/>
    <w:rsid w:val="004B12DB"/>
    <w:rsid w:val="004B2147"/>
    <w:rsid w:val="004B27B5"/>
    <w:rsid w:val="004B28C7"/>
    <w:rsid w:val="004B28D3"/>
    <w:rsid w:val="004B60E4"/>
    <w:rsid w:val="004B6148"/>
    <w:rsid w:val="004B67CF"/>
    <w:rsid w:val="004B7DE4"/>
    <w:rsid w:val="004C022D"/>
    <w:rsid w:val="004C1E9E"/>
    <w:rsid w:val="004C28D4"/>
    <w:rsid w:val="004C2C43"/>
    <w:rsid w:val="004C3168"/>
    <w:rsid w:val="004C3B30"/>
    <w:rsid w:val="004C421D"/>
    <w:rsid w:val="004C47FF"/>
    <w:rsid w:val="004C5C81"/>
    <w:rsid w:val="004C63AF"/>
    <w:rsid w:val="004C6411"/>
    <w:rsid w:val="004C6755"/>
    <w:rsid w:val="004C754C"/>
    <w:rsid w:val="004C78AE"/>
    <w:rsid w:val="004D0719"/>
    <w:rsid w:val="004D077A"/>
    <w:rsid w:val="004D10C2"/>
    <w:rsid w:val="004D1C96"/>
    <w:rsid w:val="004D2FC9"/>
    <w:rsid w:val="004D3057"/>
    <w:rsid w:val="004D3452"/>
    <w:rsid w:val="004D3989"/>
    <w:rsid w:val="004D43EA"/>
    <w:rsid w:val="004D564B"/>
    <w:rsid w:val="004D5834"/>
    <w:rsid w:val="004D6A78"/>
    <w:rsid w:val="004D72EB"/>
    <w:rsid w:val="004D760D"/>
    <w:rsid w:val="004D7736"/>
    <w:rsid w:val="004D7772"/>
    <w:rsid w:val="004D78CD"/>
    <w:rsid w:val="004D7B31"/>
    <w:rsid w:val="004E0B3A"/>
    <w:rsid w:val="004E0B80"/>
    <w:rsid w:val="004E0E08"/>
    <w:rsid w:val="004E1D73"/>
    <w:rsid w:val="004E2162"/>
    <w:rsid w:val="004E24F2"/>
    <w:rsid w:val="004E281C"/>
    <w:rsid w:val="004E3274"/>
    <w:rsid w:val="004E3345"/>
    <w:rsid w:val="004E33C1"/>
    <w:rsid w:val="004E3A4B"/>
    <w:rsid w:val="004E3F51"/>
    <w:rsid w:val="004E57D5"/>
    <w:rsid w:val="004E735D"/>
    <w:rsid w:val="004E7CF2"/>
    <w:rsid w:val="004E7CF6"/>
    <w:rsid w:val="004F0CA7"/>
    <w:rsid w:val="004F1225"/>
    <w:rsid w:val="004F16AF"/>
    <w:rsid w:val="004F25D5"/>
    <w:rsid w:val="004F3175"/>
    <w:rsid w:val="004F3927"/>
    <w:rsid w:val="004F3DFC"/>
    <w:rsid w:val="00500849"/>
    <w:rsid w:val="00500F29"/>
    <w:rsid w:val="00501956"/>
    <w:rsid w:val="0050274D"/>
    <w:rsid w:val="005029B8"/>
    <w:rsid w:val="005030B3"/>
    <w:rsid w:val="005048F5"/>
    <w:rsid w:val="0050498F"/>
    <w:rsid w:val="005051BC"/>
    <w:rsid w:val="00505D0F"/>
    <w:rsid w:val="0050683B"/>
    <w:rsid w:val="00506D9B"/>
    <w:rsid w:val="0050793D"/>
    <w:rsid w:val="00510EE9"/>
    <w:rsid w:val="0051106C"/>
    <w:rsid w:val="00511382"/>
    <w:rsid w:val="005116C2"/>
    <w:rsid w:val="005123A0"/>
    <w:rsid w:val="00513151"/>
    <w:rsid w:val="0051371D"/>
    <w:rsid w:val="00513F6F"/>
    <w:rsid w:val="00514792"/>
    <w:rsid w:val="00514919"/>
    <w:rsid w:val="00514BCD"/>
    <w:rsid w:val="0051563A"/>
    <w:rsid w:val="00515F6D"/>
    <w:rsid w:val="00516211"/>
    <w:rsid w:val="00516B90"/>
    <w:rsid w:val="005208D9"/>
    <w:rsid w:val="00521D16"/>
    <w:rsid w:val="00522023"/>
    <w:rsid w:val="00522775"/>
    <w:rsid w:val="00522CD6"/>
    <w:rsid w:val="00523AA7"/>
    <w:rsid w:val="0052548D"/>
    <w:rsid w:val="00525C00"/>
    <w:rsid w:val="005260A0"/>
    <w:rsid w:val="005263D5"/>
    <w:rsid w:val="00527119"/>
    <w:rsid w:val="00527552"/>
    <w:rsid w:val="005301E6"/>
    <w:rsid w:val="0053077B"/>
    <w:rsid w:val="00530F66"/>
    <w:rsid w:val="0053116A"/>
    <w:rsid w:val="00531747"/>
    <w:rsid w:val="0053198E"/>
    <w:rsid w:val="005319B8"/>
    <w:rsid w:val="00531DCA"/>
    <w:rsid w:val="00531E6C"/>
    <w:rsid w:val="00532F3A"/>
    <w:rsid w:val="005331AD"/>
    <w:rsid w:val="005349CF"/>
    <w:rsid w:val="00534B97"/>
    <w:rsid w:val="00534F77"/>
    <w:rsid w:val="00536AB2"/>
    <w:rsid w:val="00536BAE"/>
    <w:rsid w:val="00536BF7"/>
    <w:rsid w:val="0053724B"/>
    <w:rsid w:val="005404E9"/>
    <w:rsid w:val="0054061F"/>
    <w:rsid w:val="00540FAA"/>
    <w:rsid w:val="00541103"/>
    <w:rsid w:val="00541114"/>
    <w:rsid w:val="00541710"/>
    <w:rsid w:val="00541785"/>
    <w:rsid w:val="00543532"/>
    <w:rsid w:val="00543741"/>
    <w:rsid w:val="0054395F"/>
    <w:rsid w:val="00543BCC"/>
    <w:rsid w:val="00543BED"/>
    <w:rsid w:val="00544362"/>
    <w:rsid w:val="0054475C"/>
    <w:rsid w:val="00544C4D"/>
    <w:rsid w:val="00546130"/>
    <w:rsid w:val="00546A6A"/>
    <w:rsid w:val="00546C35"/>
    <w:rsid w:val="00547024"/>
    <w:rsid w:val="00547764"/>
    <w:rsid w:val="00547F0A"/>
    <w:rsid w:val="00550DBC"/>
    <w:rsid w:val="005512CE"/>
    <w:rsid w:val="005515C5"/>
    <w:rsid w:val="00551646"/>
    <w:rsid w:val="00551931"/>
    <w:rsid w:val="00554376"/>
    <w:rsid w:val="0055580A"/>
    <w:rsid w:val="00555D9C"/>
    <w:rsid w:val="00556761"/>
    <w:rsid w:val="00556799"/>
    <w:rsid w:val="005577CC"/>
    <w:rsid w:val="00557F04"/>
    <w:rsid w:val="00557F71"/>
    <w:rsid w:val="0056008F"/>
    <w:rsid w:val="0056074A"/>
    <w:rsid w:val="00561906"/>
    <w:rsid w:val="00561C64"/>
    <w:rsid w:val="00561E02"/>
    <w:rsid w:val="005623BE"/>
    <w:rsid w:val="005628B0"/>
    <w:rsid w:val="005628DD"/>
    <w:rsid w:val="00562A01"/>
    <w:rsid w:val="00562BBF"/>
    <w:rsid w:val="00563D12"/>
    <w:rsid w:val="00563EB5"/>
    <w:rsid w:val="00563ED0"/>
    <w:rsid w:val="005643D0"/>
    <w:rsid w:val="0056448C"/>
    <w:rsid w:val="0056479B"/>
    <w:rsid w:val="00564DEC"/>
    <w:rsid w:val="005659E4"/>
    <w:rsid w:val="00565D11"/>
    <w:rsid w:val="00566420"/>
    <w:rsid w:val="00566B4A"/>
    <w:rsid w:val="00566E57"/>
    <w:rsid w:val="00566E8A"/>
    <w:rsid w:val="00567B94"/>
    <w:rsid w:val="00570560"/>
    <w:rsid w:val="0057085A"/>
    <w:rsid w:val="00571915"/>
    <w:rsid w:val="0057194F"/>
    <w:rsid w:val="00571DBE"/>
    <w:rsid w:val="005727C0"/>
    <w:rsid w:val="00572905"/>
    <w:rsid w:val="00572D48"/>
    <w:rsid w:val="00573402"/>
    <w:rsid w:val="0057460E"/>
    <w:rsid w:val="00574882"/>
    <w:rsid w:val="00574AD1"/>
    <w:rsid w:val="0057554E"/>
    <w:rsid w:val="00577313"/>
    <w:rsid w:val="005803D3"/>
    <w:rsid w:val="005808CD"/>
    <w:rsid w:val="00580B7D"/>
    <w:rsid w:val="0058145E"/>
    <w:rsid w:val="00581692"/>
    <w:rsid w:val="0058226C"/>
    <w:rsid w:val="00582582"/>
    <w:rsid w:val="005827E6"/>
    <w:rsid w:val="00582C88"/>
    <w:rsid w:val="005833D9"/>
    <w:rsid w:val="00584021"/>
    <w:rsid w:val="005855E1"/>
    <w:rsid w:val="005862C2"/>
    <w:rsid w:val="0058641A"/>
    <w:rsid w:val="005865F7"/>
    <w:rsid w:val="00586812"/>
    <w:rsid w:val="005868A1"/>
    <w:rsid w:val="00586BA7"/>
    <w:rsid w:val="0059003F"/>
    <w:rsid w:val="0059115D"/>
    <w:rsid w:val="005913B5"/>
    <w:rsid w:val="0059235F"/>
    <w:rsid w:val="005927E4"/>
    <w:rsid w:val="00593082"/>
    <w:rsid w:val="00593414"/>
    <w:rsid w:val="00593FA8"/>
    <w:rsid w:val="0059420F"/>
    <w:rsid w:val="00594CB1"/>
    <w:rsid w:val="005957FA"/>
    <w:rsid w:val="005977F1"/>
    <w:rsid w:val="00597E63"/>
    <w:rsid w:val="005A0BB7"/>
    <w:rsid w:val="005A0C5F"/>
    <w:rsid w:val="005A1F9D"/>
    <w:rsid w:val="005A217A"/>
    <w:rsid w:val="005A335E"/>
    <w:rsid w:val="005A3786"/>
    <w:rsid w:val="005A3A06"/>
    <w:rsid w:val="005A4C4D"/>
    <w:rsid w:val="005A50F0"/>
    <w:rsid w:val="005A5AE7"/>
    <w:rsid w:val="005A5EFD"/>
    <w:rsid w:val="005A62CC"/>
    <w:rsid w:val="005A6564"/>
    <w:rsid w:val="005A65EA"/>
    <w:rsid w:val="005A673E"/>
    <w:rsid w:val="005A67AD"/>
    <w:rsid w:val="005A79DE"/>
    <w:rsid w:val="005A7DED"/>
    <w:rsid w:val="005B0315"/>
    <w:rsid w:val="005B1A5F"/>
    <w:rsid w:val="005B1BFA"/>
    <w:rsid w:val="005B1DC7"/>
    <w:rsid w:val="005B296F"/>
    <w:rsid w:val="005B3023"/>
    <w:rsid w:val="005B3817"/>
    <w:rsid w:val="005B39F5"/>
    <w:rsid w:val="005B3A51"/>
    <w:rsid w:val="005B3F39"/>
    <w:rsid w:val="005B4CFD"/>
    <w:rsid w:val="005B5591"/>
    <w:rsid w:val="005B61D1"/>
    <w:rsid w:val="005B63C3"/>
    <w:rsid w:val="005B6A0A"/>
    <w:rsid w:val="005B6C8D"/>
    <w:rsid w:val="005B78BE"/>
    <w:rsid w:val="005B78D2"/>
    <w:rsid w:val="005B7E0B"/>
    <w:rsid w:val="005B7F37"/>
    <w:rsid w:val="005C0CA6"/>
    <w:rsid w:val="005C0FA0"/>
    <w:rsid w:val="005C2231"/>
    <w:rsid w:val="005C2C40"/>
    <w:rsid w:val="005C2EB3"/>
    <w:rsid w:val="005C3130"/>
    <w:rsid w:val="005C3F60"/>
    <w:rsid w:val="005C421E"/>
    <w:rsid w:val="005C52E8"/>
    <w:rsid w:val="005C56D8"/>
    <w:rsid w:val="005C5F2C"/>
    <w:rsid w:val="005C665B"/>
    <w:rsid w:val="005C6FCD"/>
    <w:rsid w:val="005D09F6"/>
    <w:rsid w:val="005D136F"/>
    <w:rsid w:val="005D1657"/>
    <w:rsid w:val="005D245B"/>
    <w:rsid w:val="005D2706"/>
    <w:rsid w:val="005D36E0"/>
    <w:rsid w:val="005D394B"/>
    <w:rsid w:val="005D3BBF"/>
    <w:rsid w:val="005D4015"/>
    <w:rsid w:val="005D41BC"/>
    <w:rsid w:val="005D445A"/>
    <w:rsid w:val="005D4CC4"/>
    <w:rsid w:val="005D55BE"/>
    <w:rsid w:val="005D5DDF"/>
    <w:rsid w:val="005D5E94"/>
    <w:rsid w:val="005D790B"/>
    <w:rsid w:val="005D7ABD"/>
    <w:rsid w:val="005E0B47"/>
    <w:rsid w:val="005E1FD7"/>
    <w:rsid w:val="005E22C2"/>
    <w:rsid w:val="005E2807"/>
    <w:rsid w:val="005E3032"/>
    <w:rsid w:val="005E386B"/>
    <w:rsid w:val="005E390E"/>
    <w:rsid w:val="005E4758"/>
    <w:rsid w:val="005E5D4F"/>
    <w:rsid w:val="005E7718"/>
    <w:rsid w:val="005F0087"/>
    <w:rsid w:val="005F01D3"/>
    <w:rsid w:val="005F108D"/>
    <w:rsid w:val="005F1796"/>
    <w:rsid w:val="005F1C67"/>
    <w:rsid w:val="005F2795"/>
    <w:rsid w:val="005F347C"/>
    <w:rsid w:val="005F3F8B"/>
    <w:rsid w:val="005F5C3D"/>
    <w:rsid w:val="005F75B2"/>
    <w:rsid w:val="005F7622"/>
    <w:rsid w:val="005F7850"/>
    <w:rsid w:val="005F7CDC"/>
    <w:rsid w:val="005F7CE7"/>
    <w:rsid w:val="006003EC"/>
    <w:rsid w:val="00600524"/>
    <w:rsid w:val="0060102A"/>
    <w:rsid w:val="006012AE"/>
    <w:rsid w:val="006012F0"/>
    <w:rsid w:val="006013D5"/>
    <w:rsid w:val="00601816"/>
    <w:rsid w:val="006029D6"/>
    <w:rsid w:val="00602ACE"/>
    <w:rsid w:val="0060331D"/>
    <w:rsid w:val="006043C6"/>
    <w:rsid w:val="00604784"/>
    <w:rsid w:val="006068CE"/>
    <w:rsid w:val="00607263"/>
    <w:rsid w:val="00607C70"/>
    <w:rsid w:val="00610004"/>
    <w:rsid w:val="00611570"/>
    <w:rsid w:val="00612025"/>
    <w:rsid w:val="00612367"/>
    <w:rsid w:val="00613808"/>
    <w:rsid w:val="006140FE"/>
    <w:rsid w:val="00614244"/>
    <w:rsid w:val="00614675"/>
    <w:rsid w:val="0061483F"/>
    <w:rsid w:val="00614AC3"/>
    <w:rsid w:val="006155BB"/>
    <w:rsid w:val="00615D44"/>
    <w:rsid w:val="0061692D"/>
    <w:rsid w:val="0061697C"/>
    <w:rsid w:val="00617457"/>
    <w:rsid w:val="0061764A"/>
    <w:rsid w:val="00617B79"/>
    <w:rsid w:val="00617D82"/>
    <w:rsid w:val="006202BB"/>
    <w:rsid w:val="006215C8"/>
    <w:rsid w:val="00621714"/>
    <w:rsid w:val="00621C59"/>
    <w:rsid w:val="00622F05"/>
    <w:rsid w:val="0062357B"/>
    <w:rsid w:val="00623B21"/>
    <w:rsid w:val="00623CDC"/>
    <w:rsid w:val="00623F5B"/>
    <w:rsid w:val="0062556C"/>
    <w:rsid w:val="006264DF"/>
    <w:rsid w:val="006266BE"/>
    <w:rsid w:val="00626808"/>
    <w:rsid w:val="00627132"/>
    <w:rsid w:val="006272E7"/>
    <w:rsid w:val="00627E5C"/>
    <w:rsid w:val="00630699"/>
    <w:rsid w:val="00630F96"/>
    <w:rsid w:val="00630FF9"/>
    <w:rsid w:val="006314AF"/>
    <w:rsid w:val="00631802"/>
    <w:rsid w:val="006329A8"/>
    <w:rsid w:val="00632B37"/>
    <w:rsid w:val="00632BC0"/>
    <w:rsid w:val="006330D1"/>
    <w:rsid w:val="006339D1"/>
    <w:rsid w:val="00634085"/>
    <w:rsid w:val="00634435"/>
    <w:rsid w:val="00634969"/>
    <w:rsid w:val="006352C5"/>
    <w:rsid w:val="00635913"/>
    <w:rsid w:val="00635F63"/>
    <w:rsid w:val="00636DB2"/>
    <w:rsid w:val="006409F2"/>
    <w:rsid w:val="0064131D"/>
    <w:rsid w:val="0064142E"/>
    <w:rsid w:val="006414D3"/>
    <w:rsid w:val="00641B99"/>
    <w:rsid w:val="006438E8"/>
    <w:rsid w:val="006447F7"/>
    <w:rsid w:val="0064533B"/>
    <w:rsid w:val="006460C4"/>
    <w:rsid w:val="00646E16"/>
    <w:rsid w:val="00647E7F"/>
    <w:rsid w:val="00651062"/>
    <w:rsid w:val="00651D4A"/>
    <w:rsid w:val="0065226D"/>
    <w:rsid w:val="0065233A"/>
    <w:rsid w:val="006524E6"/>
    <w:rsid w:val="0065250E"/>
    <w:rsid w:val="00652747"/>
    <w:rsid w:val="006527A6"/>
    <w:rsid w:val="00652B3C"/>
    <w:rsid w:val="00652D9D"/>
    <w:rsid w:val="006535FB"/>
    <w:rsid w:val="00653FA6"/>
    <w:rsid w:val="006548A2"/>
    <w:rsid w:val="00654B59"/>
    <w:rsid w:val="00655D8E"/>
    <w:rsid w:val="00656571"/>
    <w:rsid w:val="00656EE6"/>
    <w:rsid w:val="00657093"/>
    <w:rsid w:val="00657219"/>
    <w:rsid w:val="00660460"/>
    <w:rsid w:val="006605BA"/>
    <w:rsid w:val="00660916"/>
    <w:rsid w:val="00660A0D"/>
    <w:rsid w:val="00660EAA"/>
    <w:rsid w:val="0066209A"/>
    <w:rsid w:val="00662989"/>
    <w:rsid w:val="00662F92"/>
    <w:rsid w:val="006630C9"/>
    <w:rsid w:val="0066491D"/>
    <w:rsid w:val="006650E2"/>
    <w:rsid w:val="00665A99"/>
    <w:rsid w:val="00665C7A"/>
    <w:rsid w:val="00665CEA"/>
    <w:rsid w:val="006673EC"/>
    <w:rsid w:val="00667724"/>
    <w:rsid w:val="00667927"/>
    <w:rsid w:val="00670731"/>
    <w:rsid w:val="00671197"/>
    <w:rsid w:val="00671764"/>
    <w:rsid w:val="00671F11"/>
    <w:rsid w:val="00672326"/>
    <w:rsid w:val="006733E1"/>
    <w:rsid w:val="006737C4"/>
    <w:rsid w:val="00673836"/>
    <w:rsid w:val="00673C41"/>
    <w:rsid w:val="00674B78"/>
    <w:rsid w:val="00674BC9"/>
    <w:rsid w:val="00674C90"/>
    <w:rsid w:val="00674E99"/>
    <w:rsid w:val="00676D0F"/>
    <w:rsid w:val="006770F5"/>
    <w:rsid w:val="00677671"/>
    <w:rsid w:val="00677CE1"/>
    <w:rsid w:val="00677F07"/>
    <w:rsid w:val="00681193"/>
    <w:rsid w:val="006813F1"/>
    <w:rsid w:val="00681E75"/>
    <w:rsid w:val="00682EDF"/>
    <w:rsid w:val="00682F7C"/>
    <w:rsid w:val="00683FD1"/>
    <w:rsid w:val="006846AD"/>
    <w:rsid w:val="0068534D"/>
    <w:rsid w:val="00685502"/>
    <w:rsid w:val="0068558B"/>
    <w:rsid w:val="00685D0F"/>
    <w:rsid w:val="006861EC"/>
    <w:rsid w:val="006864BC"/>
    <w:rsid w:val="00686518"/>
    <w:rsid w:val="00686764"/>
    <w:rsid w:val="00687CF7"/>
    <w:rsid w:val="00687D18"/>
    <w:rsid w:val="00687FCE"/>
    <w:rsid w:val="00690582"/>
    <w:rsid w:val="0069129A"/>
    <w:rsid w:val="0069147C"/>
    <w:rsid w:val="00691B18"/>
    <w:rsid w:val="00691CA8"/>
    <w:rsid w:val="00691D8F"/>
    <w:rsid w:val="00692E95"/>
    <w:rsid w:val="0069386D"/>
    <w:rsid w:val="00693A11"/>
    <w:rsid w:val="00694570"/>
    <w:rsid w:val="006948C9"/>
    <w:rsid w:val="00695673"/>
    <w:rsid w:val="00695849"/>
    <w:rsid w:val="00695B66"/>
    <w:rsid w:val="00695E3D"/>
    <w:rsid w:val="00697DE7"/>
    <w:rsid w:val="006A0C5D"/>
    <w:rsid w:val="006A1688"/>
    <w:rsid w:val="006A1733"/>
    <w:rsid w:val="006A1B8B"/>
    <w:rsid w:val="006A1FF3"/>
    <w:rsid w:val="006A230C"/>
    <w:rsid w:val="006A2418"/>
    <w:rsid w:val="006A274D"/>
    <w:rsid w:val="006A3C27"/>
    <w:rsid w:val="006A4232"/>
    <w:rsid w:val="006A4D38"/>
    <w:rsid w:val="006A535E"/>
    <w:rsid w:val="006A5818"/>
    <w:rsid w:val="006A653D"/>
    <w:rsid w:val="006A6880"/>
    <w:rsid w:val="006A6E5D"/>
    <w:rsid w:val="006A72FE"/>
    <w:rsid w:val="006A7556"/>
    <w:rsid w:val="006B0206"/>
    <w:rsid w:val="006B0507"/>
    <w:rsid w:val="006B0BED"/>
    <w:rsid w:val="006B158D"/>
    <w:rsid w:val="006B19DB"/>
    <w:rsid w:val="006B1CFA"/>
    <w:rsid w:val="006B20B9"/>
    <w:rsid w:val="006B2CD8"/>
    <w:rsid w:val="006B3A0D"/>
    <w:rsid w:val="006B40EB"/>
    <w:rsid w:val="006B413A"/>
    <w:rsid w:val="006B46E8"/>
    <w:rsid w:val="006B4920"/>
    <w:rsid w:val="006B5719"/>
    <w:rsid w:val="006B5B90"/>
    <w:rsid w:val="006B7344"/>
    <w:rsid w:val="006C000D"/>
    <w:rsid w:val="006C0333"/>
    <w:rsid w:val="006C062E"/>
    <w:rsid w:val="006C1D3E"/>
    <w:rsid w:val="006C287D"/>
    <w:rsid w:val="006C29B5"/>
    <w:rsid w:val="006C3171"/>
    <w:rsid w:val="006C3B8D"/>
    <w:rsid w:val="006C3D6F"/>
    <w:rsid w:val="006C4FE5"/>
    <w:rsid w:val="006C56A2"/>
    <w:rsid w:val="006C5DA6"/>
    <w:rsid w:val="006C609F"/>
    <w:rsid w:val="006C6C2B"/>
    <w:rsid w:val="006C6DE0"/>
    <w:rsid w:val="006C6EF9"/>
    <w:rsid w:val="006D01F6"/>
    <w:rsid w:val="006D0CB0"/>
    <w:rsid w:val="006D0D5F"/>
    <w:rsid w:val="006D1713"/>
    <w:rsid w:val="006D2C1F"/>
    <w:rsid w:val="006D355B"/>
    <w:rsid w:val="006D3D9A"/>
    <w:rsid w:val="006D573F"/>
    <w:rsid w:val="006D5C5D"/>
    <w:rsid w:val="006D5EE9"/>
    <w:rsid w:val="006D65CA"/>
    <w:rsid w:val="006D69ED"/>
    <w:rsid w:val="006D6A8C"/>
    <w:rsid w:val="006D6E18"/>
    <w:rsid w:val="006D791C"/>
    <w:rsid w:val="006E0531"/>
    <w:rsid w:val="006E0546"/>
    <w:rsid w:val="006E0860"/>
    <w:rsid w:val="006E1376"/>
    <w:rsid w:val="006E1470"/>
    <w:rsid w:val="006E1B42"/>
    <w:rsid w:val="006E2312"/>
    <w:rsid w:val="006E2359"/>
    <w:rsid w:val="006E2668"/>
    <w:rsid w:val="006E37CD"/>
    <w:rsid w:val="006E4B05"/>
    <w:rsid w:val="006E4E77"/>
    <w:rsid w:val="006E530D"/>
    <w:rsid w:val="006E5680"/>
    <w:rsid w:val="006E6688"/>
    <w:rsid w:val="006E6D45"/>
    <w:rsid w:val="006F0948"/>
    <w:rsid w:val="006F09A6"/>
    <w:rsid w:val="006F2620"/>
    <w:rsid w:val="006F2951"/>
    <w:rsid w:val="006F2A6E"/>
    <w:rsid w:val="006F391A"/>
    <w:rsid w:val="006F3A0B"/>
    <w:rsid w:val="006F3AA6"/>
    <w:rsid w:val="006F427D"/>
    <w:rsid w:val="006F4A11"/>
    <w:rsid w:val="006F6052"/>
    <w:rsid w:val="006F6471"/>
    <w:rsid w:val="006F7469"/>
    <w:rsid w:val="00700269"/>
    <w:rsid w:val="00700374"/>
    <w:rsid w:val="00700880"/>
    <w:rsid w:val="00700D48"/>
    <w:rsid w:val="00700F5D"/>
    <w:rsid w:val="007016A3"/>
    <w:rsid w:val="00701950"/>
    <w:rsid w:val="007022A0"/>
    <w:rsid w:val="0070288B"/>
    <w:rsid w:val="00703E6D"/>
    <w:rsid w:val="00703EDF"/>
    <w:rsid w:val="00704547"/>
    <w:rsid w:val="0070546C"/>
    <w:rsid w:val="00705555"/>
    <w:rsid w:val="00705A3F"/>
    <w:rsid w:val="00706ADC"/>
    <w:rsid w:val="00706B0B"/>
    <w:rsid w:val="0070767D"/>
    <w:rsid w:val="00707CA9"/>
    <w:rsid w:val="007100A4"/>
    <w:rsid w:val="00710581"/>
    <w:rsid w:val="00710676"/>
    <w:rsid w:val="00710FC7"/>
    <w:rsid w:val="00711287"/>
    <w:rsid w:val="007115F2"/>
    <w:rsid w:val="00711AC5"/>
    <w:rsid w:val="007121C1"/>
    <w:rsid w:val="00712251"/>
    <w:rsid w:val="00713980"/>
    <w:rsid w:val="007142C9"/>
    <w:rsid w:val="00714E2C"/>
    <w:rsid w:val="00714F71"/>
    <w:rsid w:val="007151DE"/>
    <w:rsid w:val="00716017"/>
    <w:rsid w:val="0071646F"/>
    <w:rsid w:val="00717078"/>
    <w:rsid w:val="00720E95"/>
    <w:rsid w:val="00721030"/>
    <w:rsid w:val="0072141D"/>
    <w:rsid w:val="00721B97"/>
    <w:rsid w:val="00721B99"/>
    <w:rsid w:val="00723089"/>
    <w:rsid w:val="0072322D"/>
    <w:rsid w:val="00723BB7"/>
    <w:rsid w:val="007243F2"/>
    <w:rsid w:val="0072490F"/>
    <w:rsid w:val="00724DEA"/>
    <w:rsid w:val="0072509C"/>
    <w:rsid w:val="0072581E"/>
    <w:rsid w:val="007279C0"/>
    <w:rsid w:val="00727B07"/>
    <w:rsid w:val="00730441"/>
    <w:rsid w:val="0073083B"/>
    <w:rsid w:val="00730E99"/>
    <w:rsid w:val="00730F62"/>
    <w:rsid w:val="00730F7D"/>
    <w:rsid w:val="00731148"/>
    <w:rsid w:val="00731352"/>
    <w:rsid w:val="0073194C"/>
    <w:rsid w:val="0073284B"/>
    <w:rsid w:val="00732881"/>
    <w:rsid w:val="0073313E"/>
    <w:rsid w:val="0073359A"/>
    <w:rsid w:val="0073389E"/>
    <w:rsid w:val="007344D2"/>
    <w:rsid w:val="007345C7"/>
    <w:rsid w:val="007361B1"/>
    <w:rsid w:val="00736421"/>
    <w:rsid w:val="0073661B"/>
    <w:rsid w:val="00737690"/>
    <w:rsid w:val="007376EC"/>
    <w:rsid w:val="00740EC5"/>
    <w:rsid w:val="00741078"/>
    <w:rsid w:val="00741D90"/>
    <w:rsid w:val="00742244"/>
    <w:rsid w:val="007426DC"/>
    <w:rsid w:val="007429FB"/>
    <w:rsid w:val="00742CED"/>
    <w:rsid w:val="00742ED2"/>
    <w:rsid w:val="007430BE"/>
    <w:rsid w:val="007443DE"/>
    <w:rsid w:val="00744778"/>
    <w:rsid w:val="00744A6C"/>
    <w:rsid w:val="00745584"/>
    <w:rsid w:val="00746780"/>
    <w:rsid w:val="00747645"/>
    <w:rsid w:val="00747A38"/>
    <w:rsid w:val="00747B2A"/>
    <w:rsid w:val="0075004C"/>
    <w:rsid w:val="00750890"/>
    <w:rsid w:val="00751205"/>
    <w:rsid w:val="00751830"/>
    <w:rsid w:val="0075270D"/>
    <w:rsid w:val="00752740"/>
    <w:rsid w:val="00752912"/>
    <w:rsid w:val="00752CAF"/>
    <w:rsid w:val="00753D03"/>
    <w:rsid w:val="0075427A"/>
    <w:rsid w:val="00754319"/>
    <w:rsid w:val="00754B0E"/>
    <w:rsid w:val="00755028"/>
    <w:rsid w:val="00755B90"/>
    <w:rsid w:val="00755BAA"/>
    <w:rsid w:val="00755DC2"/>
    <w:rsid w:val="00755E58"/>
    <w:rsid w:val="007601AF"/>
    <w:rsid w:val="007610AC"/>
    <w:rsid w:val="007610D6"/>
    <w:rsid w:val="00761BF6"/>
    <w:rsid w:val="007630D8"/>
    <w:rsid w:val="007638E1"/>
    <w:rsid w:val="007642F7"/>
    <w:rsid w:val="00764D89"/>
    <w:rsid w:val="0076560A"/>
    <w:rsid w:val="00765812"/>
    <w:rsid w:val="00765C90"/>
    <w:rsid w:val="00765F56"/>
    <w:rsid w:val="00766232"/>
    <w:rsid w:val="00767058"/>
    <w:rsid w:val="00767457"/>
    <w:rsid w:val="00770034"/>
    <w:rsid w:val="007714D8"/>
    <w:rsid w:val="007717C6"/>
    <w:rsid w:val="00771D8B"/>
    <w:rsid w:val="0077250B"/>
    <w:rsid w:val="00773574"/>
    <w:rsid w:val="00773C4D"/>
    <w:rsid w:val="00774CAE"/>
    <w:rsid w:val="0077579D"/>
    <w:rsid w:val="00776949"/>
    <w:rsid w:val="00776B63"/>
    <w:rsid w:val="00777EF6"/>
    <w:rsid w:val="007800F5"/>
    <w:rsid w:val="007801E0"/>
    <w:rsid w:val="00780511"/>
    <w:rsid w:val="007811BF"/>
    <w:rsid w:val="0078180B"/>
    <w:rsid w:val="00781B72"/>
    <w:rsid w:val="00782686"/>
    <w:rsid w:val="00782E43"/>
    <w:rsid w:val="00783FD6"/>
    <w:rsid w:val="007847DC"/>
    <w:rsid w:val="007855FB"/>
    <w:rsid w:val="007868B7"/>
    <w:rsid w:val="00786DD1"/>
    <w:rsid w:val="0078710D"/>
    <w:rsid w:val="00791521"/>
    <w:rsid w:val="00791A08"/>
    <w:rsid w:val="00791C32"/>
    <w:rsid w:val="0079202A"/>
    <w:rsid w:val="00793E92"/>
    <w:rsid w:val="00794E41"/>
    <w:rsid w:val="00797012"/>
    <w:rsid w:val="0079705B"/>
    <w:rsid w:val="007973EF"/>
    <w:rsid w:val="00797712"/>
    <w:rsid w:val="007A011E"/>
    <w:rsid w:val="007A0224"/>
    <w:rsid w:val="007A0460"/>
    <w:rsid w:val="007A17CC"/>
    <w:rsid w:val="007A221B"/>
    <w:rsid w:val="007A22CB"/>
    <w:rsid w:val="007A2798"/>
    <w:rsid w:val="007A27A5"/>
    <w:rsid w:val="007A2A15"/>
    <w:rsid w:val="007A2D36"/>
    <w:rsid w:val="007A33BD"/>
    <w:rsid w:val="007A3E16"/>
    <w:rsid w:val="007A4582"/>
    <w:rsid w:val="007A5881"/>
    <w:rsid w:val="007A5B04"/>
    <w:rsid w:val="007A642C"/>
    <w:rsid w:val="007A751A"/>
    <w:rsid w:val="007A7678"/>
    <w:rsid w:val="007A76BB"/>
    <w:rsid w:val="007A78C2"/>
    <w:rsid w:val="007B0C94"/>
    <w:rsid w:val="007B1904"/>
    <w:rsid w:val="007B19AB"/>
    <w:rsid w:val="007B257B"/>
    <w:rsid w:val="007B2682"/>
    <w:rsid w:val="007B3201"/>
    <w:rsid w:val="007B3CEA"/>
    <w:rsid w:val="007B3DF8"/>
    <w:rsid w:val="007B44E7"/>
    <w:rsid w:val="007B475F"/>
    <w:rsid w:val="007B4AA1"/>
    <w:rsid w:val="007B4C69"/>
    <w:rsid w:val="007B4EED"/>
    <w:rsid w:val="007B51D7"/>
    <w:rsid w:val="007B52C3"/>
    <w:rsid w:val="007B5436"/>
    <w:rsid w:val="007B660C"/>
    <w:rsid w:val="007B6980"/>
    <w:rsid w:val="007B69C8"/>
    <w:rsid w:val="007B6E52"/>
    <w:rsid w:val="007B7F50"/>
    <w:rsid w:val="007C1A66"/>
    <w:rsid w:val="007C1C47"/>
    <w:rsid w:val="007C1D6E"/>
    <w:rsid w:val="007C2331"/>
    <w:rsid w:val="007C259C"/>
    <w:rsid w:val="007C27BF"/>
    <w:rsid w:val="007C3452"/>
    <w:rsid w:val="007C49CC"/>
    <w:rsid w:val="007C6F14"/>
    <w:rsid w:val="007C751B"/>
    <w:rsid w:val="007D03DF"/>
    <w:rsid w:val="007D0F89"/>
    <w:rsid w:val="007D1353"/>
    <w:rsid w:val="007D17BD"/>
    <w:rsid w:val="007D1978"/>
    <w:rsid w:val="007D228B"/>
    <w:rsid w:val="007D22F4"/>
    <w:rsid w:val="007D2C3C"/>
    <w:rsid w:val="007D3035"/>
    <w:rsid w:val="007D31D7"/>
    <w:rsid w:val="007D3659"/>
    <w:rsid w:val="007D386F"/>
    <w:rsid w:val="007D3EBD"/>
    <w:rsid w:val="007D45F8"/>
    <w:rsid w:val="007D4917"/>
    <w:rsid w:val="007D6E17"/>
    <w:rsid w:val="007D6E73"/>
    <w:rsid w:val="007D7A17"/>
    <w:rsid w:val="007D7CA6"/>
    <w:rsid w:val="007E1494"/>
    <w:rsid w:val="007E20A4"/>
    <w:rsid w:val="007E23CC"/>
    <w:rsid w:val="007E3096"/>
    <w:rsid w:val="007E30DF"/>
    <w:rsid w:val="007E4991"/>
    <w:rsid w:val="007E54B8"/>
    <w:rsid w:val="007E5BCB"/>
    <w:rsid w:val="007E6942"/>
    <w:rsid w:val="007E6B93"/>
    <w:rsid w:val="007E6D9F"/>
    <w:rsid w:val="007E7D7B"/>
    <w:rsid w:val="007F0141"/>
    <w:rsid w:val="007F02FE"/>
    <w:rsid w:val="007F1714"/>
    <w:rsid w:val="007F17E7"/>
    <w:rsid w:val="007F1E8F"/>
    <w:rsid w:val="007F1F68"/>
    <w:rsid w:val="007F2334"/>
    <w:rsid w:val="007F3359"/>
    <w:rsid w:val="007F374B"/>
    <w:rsid w:val="007F74B3"/>
    <w:rsid w:val="007F74C4"/>
    <w:rsid w:val="007F7A29"/>
    <w:rsid w:val="00800003"/>
    <w:rsid w:val="00801939"/>
    <w:rsid w:val="00801F44"/>
    <w:rsid w:val="00801FEA"/>
    <w:rsid w:val="00802852"/>
    <w:rsid w:val="00803314"/>
    <w:rsid w:val="008034AF"/>
    <w:rsid w:val="00803CDF"/>
    <w:rsid w:val="0080442B"/>
    <w:rsid w:val="0080495A"/>
    <w:rsid w:val="00804F96"/>
    <w:rsid w:val="00806302"/>
    <w:rsid w:val="00806314"/>
    <w:rsid w:val="008064FA"/>
    <w:rsid w:val="0080662A"/>
    <w:rsid w:val="00807E86"/>
    <w:rsid w:val="00811317"/>
    <w:rsid w:val="00811956"/>
    <w:rsid w:val="00811A5F"/>
    <w:rsid w:val="00812193"/>
    <w:rsid w:val="00812F42"/>
    <w:rsid w:val="008136C8"/>
    <w:rsid w:val="0081436E"/>
    <w:rsid w:val="0081519B"/>
    <w:rsid w:val="008162F1"/>
    <w:rsid w:val="00816ACD"/>
    <w:rsid w:val="00816F7C"/>
    <w:rsid w:val="008170C5"/>
    <w:rsid w:val="00817BD6"/>
    <w:rsid w:val="0082067F"/>
    <w:rsid w:val="00820984"/>
    <w:rsid w:val="00820D85"/>
    <w:rsid w:val="00820E68"/>
    <w:rsid w:val="00821422"/>
    <w:rsid w:val="008225FE"/>
    <w:rsid w:val="008230BE"/>
    <w:rsid w:val="008233E6"/>
    <w:rsid w:val="0082396F"/>
    <w:rsid w:val="0082407F"/>
    <w:rsid w:val="0082513F"/>
    <w:rsid w:val="0082541F"/>
    <w:rsid w:val="00825781"/>
    <w:rsid w:val="0082776C"/>
    <w:rsid w:val="00827E39"/>
    <w:rsid w:val="008300E7"/>
    <w:rsid w:val="00830342"/>
    <w:rsid w:val="00831768"/>
    <w:rsid w:val="008327F3"/>
    <w:rsid w:val="008328E7"/>
    <w:rsid w:val="00833744"/>
    <w:rsid w:val="00834313"/>
    <w:rsid w:val="00834A32"/>
    <w:rsid w:val="008353F9"/>
    <w:rsid w:val="0083542F"/>
    <w:rsid w:val="00835D68"/>
    <w:rsid w:val="00836F61"/>
    <w:rsid w:val="00836F70"/>
    <w:rsid w:val="00837238"/>
    <w:rsid w:val="008413EF"/>
    <w:rsid w:val="00841473"/>
    <w:rsid w:val="00841CAD"/>
    <w:rsid w:val="00841D08"/>
    <w:rsid w:val="00842176"/>
    <w:rsid w:val="008432E3"/>
    <w:rsid w:val="00843373"/>
    <w:rsid w:val="008436BF"/>
    <w:rsid w:val="00844124"/>
    <w:rsid w:val="008442C7"/>
    <w:rsid w:val="0084440D"/>
    <w:rsid w:val="00844610"/>
    <w:rsid w:val="008452D7"/>
    <w:rsid w:val="00846A20"/>
    <w:rsid w:val="008470DD"/>
    <w:rsid w:val="00847C23"/>
    <w:rsid w:val="00847E3D"/>
    <w:rsid w:val="00850546"/>
    <w:rsid w:val="00850CCB"/>
    <w:rsid w:val="00851935"/>
    <w:rsid w:val="0085231E"/>
    <w:rsid w:val="0085268E"/>
    <w:rsid w:val="008526D0"/>
    <w:rsid w:val="0085369C"/>
    <w:rsid w:val="00856839"/>
    <w:rsid w:val="00856861"/>
    <w:rsid w:val="0086034B"/>
    <w:rsid w:val="00860A36"/>
    <w:rsid w:val="00861277"/>
    <w:rsid w:val="00861934"/>
    <w:rsid w:val="00861F8D"/>
    <w:rsid w:val="0086310B"/>
    <w:rsid w:val="00863790"/>
    <w:rsid w:val="00863937"/>
    <w:rsid w:val="00864BDE"/>
    <w:rsid w:val="00864FF9"/>
    <w:rsid w:val="0086735A"/>
    <w:rsid w:val="0086740E"/>
    <w:rsid w:val="0087033D"/>
    <w:rsid w:val="00870688"/>
    <w:rsid w:val="00870839"/>
    <w:rsid w:val="0087136F"/>
    <w:rsid w:val="008722C8"/>
    <w:rsid w:val="008727C6"/>
    <w:rsid w:val="00872AD7"/>
    <w:rsid w:val="00872C32"/>
    <w:rsid w:val="0087305F"/>
    <w:rsid w:val="00873197"/>
    <w:rsid w:val="00873862"/>
    <w:rsid w:val="00873899"/>
    <w:rsid w:val="00873BF4"/>
    <w:rsid w:val="00874185"/>
    <w:rsid w:val="00875D4E"/>
    <w:rsid w:val="00876009"/>
    <w:rsid w:val="0087625B"/>
    <w:rsid w:val="008764BF"/>
    <w:rsid w:val="008769C6"/>
    <w:rsid w:val="008769E7"/>
    <w:rsid w:val="00877196"/>
    <w:rsid w:val="008776E5"/>
    <w:rsid w:val="0087780D"/>
    <w:rsid w:val="00877DBF"/>
    <w:rsid w:val="008807F0"/>
    <w:rsid w:val="00880965"/>
    <w:rsid w:val="00880E96"/>
    <w:rsid w:val="00881207"/>
    <w:rsid w:val="00881D97"/>
    <w:rsid w:val="00882F69"/>
    <w:rsid w:val="008838BA"/>
    <w:rsid w:val="0088395B"/>
    <w:rsid w:val="00883DD7"/>
    <w:rsid w:val="008840D6"/>
    <w:rsid w:val="008842C4"/>
    <w:rsid w:val="00884F1C"/>
    <w:rsid w:val="00885833"/>
    <w:rsid w:val="0088608A"/>
    <w:rsid w:val="008869B4"/>
    <w:rsid w:val="0088736A"/>
    <w:rsid w:val="0088788E"/>
    <w:rsid w:val="00887B9A"/>
    <w:rsid w:val="00887C26"/>
    <w:rsid w:val="00887D40"/>
    <w:rsid w:val="008907BF"/>
    <w:rsid w:val="008917AB"/>
    <w:rsid w:val="0089268D"/>
    <w:rsid w:val="00892C89"/>
    <w:rsid w:val="00892F48"/>
    <w:rsid w:val="008936E3"/>
    <w:rsid w:val="00893DF5"/>
    <w:rsid w:val="00894162"/>
    <w:rsid w:val="008946A7"/>
    <w:rsid w:val="00894DF0"/>
    <w:rsid w:val="00895E45"/>
    <w:rsid w:val="00897036"/>
    <w:rsid w:val="008A0018"/>
    <w:rsid w:val="008A0C55"/>
    <w:rsid w:val="008A1664"/>
    <w:rsid w:val="008A1F62"/>
    <w:rsid w:val="008A300F"/>
    <w:rsid w:val="008A3378"/>
    <w:rsid w:val="008A37A5"/>
    <w:rsid w:val="008A4E52"/>
    <w:rsid w:val="008A549E"/>
    <w:rsid w:val="008A553A"/>
    <w:rsid w:val="008A5721"/>
    <w:rsid w:val="008A5D97"/>
    <w:rsid w:val="008A6B68"/>
    <w:rsid w:val="008A6D89"/>
    <w:rsid w:val="008A7C55"/>
    <w:rsid w:val="008B082D"/>
    <w:rsid w:val="008B0A8E"/>
    <w:rsid w:val="008B0D17"/>
    <w:rsid w:val="008B1E76"/>
    <w:rsid w:val="008B21AC"/>
    <w:rsid w:val="008B2A77"/>
    <w:rsid w:val="008B2C15"/>
    <w:rsid w:val="008B34A1"/>
    <w:rsid w:val="008B37C1"/>
    <w:rsid w:val="008B5C4B"/>
    <w:rsid w:val="008B5DA5"/>
    <w:rsid w:val="008B63E3"/>
    <w:rsid w:val="008B68C7"/>
    <w:rsid w:val="008B6D96"/>
    <w:rsid w:val="008B6EE4"/>
    <w:rsid w:val="008B78F7"/>
    <w:rsid w:val="008C0137"/>
    <w:rsid w:val="008C0414"/>
    <w:rsid w:val="008C0886"/>
    <w:rsid w:val="008C0AB7"/>
    <w:rsid w:val="008C0FC8"/>
    <w:rsid w:val="008C2061"/>
    <w:rsid w:val="008C2478"/>
    <w:rsid w:val="008C25D3"/>
    <w:rsid w:val="008C2BB1"/>
    <w:rsid w:val="008C341D"/>
    <w:rsid w:val="008C3908"/>
    <w:rsid w:val="008C498E"/>
    <w:rsid w:val="008C4AC9"/>
    <w:rsid w:val="008C4BF0"/>
    <w:rsid w:val="008C736F"/>
    <w:rsid w:val="008C751C"/>
    <w:rsid w:val="008C7827"/>
    <w:rsid w:val="008C7FDB"/>
    <w:rsid w:val="008D0033"/>
    <w:rsid w:val="008D180A"/>
    <w:rsid w:val="008D22ED"/>
    <w:rsid w:val="008D27C9"/>
    <w:rsid w:val="008D2A36"/>
    <w:rsid w:val="008D2AB3"/>
    <w:rsid w:val="008D3361"/>
    <w:rsid w:val="008D3705"/>
    <w:rsid w:val="008D4916"/>
    <w:rsid w:val="008D5C55"/>
    <w:rsid w:val="008D5DD8"/>
    <w:rsid w:val="008D67DA"/>
    <w:rsid w:val="008D6D74"/>
    <w:rsid w:val="008D7305"/>
    <w:rsid w:val="008D7F33"/>
    <w:rsid w:val="008E09BF"/>
    <w:rsid w:val="008E0E3F"/>
    <w:rsid w:val="008E1526"/>
    <w:rsid w:val="008E2CB9"/>
    <w:rsid w:val="008E2E16"/>
    <w:rsid w:val="008E46AC"/>
    <w:rsid w:val="008E49C6"/>
    <w:rsid w:val="008E4AFE"/>
    <w:rsid w:val="008E4CA1"/>
    <w:rsid w:val="008E4F78"/>
    <w:rsid w:val="008E5277"/>
    <w:rsid w:val="008E5D0A"/>
    <w:rsid w:val="008E7B73"/>
    <w:rsid w:val="008F0B26"/>
    <w:rsid w:val="008F0F80"/>
    <w:rsid w:val="008F1CED"/>
    <w:rsid w:val="008F341D"/>
    <w:rsid w:val="008F46B3"/>
    <w:rsid w:val="008F489E"/>
    <w:rsid w:val="008F4A1D"/>
    <w:rsid w:val="008F50F3"/>
    <w:rsid w:val="008F5717"/>
    <w:rsid w:val="008F5806"/>
    <w:rsid w:val="008F62BD"/>
    <w:rsid w:val="008F663B"/>
    <w:rsid w:val="008F6CCC"/>
    <w:rsid w:val="008F7170"/>
    <w:rsid w:val="008F7776"/>
    <w:rsid w:val="008F7AAE"/>
    <w:rsid w:val="009008BD"/>
    <w:rsid w:val="00900F8A"/>
    <w:rsid w:val="00901B9D"/>
    <w:rsid w:val="00901BB3"/>
    <w:rsid w:val="00903591"/>
    <w:rsid w:val="00903624"/>
    <w:rsid w:val="00903D88"/>
    <w:rsid w:val="00904A31"/>
    <w:rsid w:val="00904A9C"/>
    <w:rsid w:val="00904CCA"/>
    <w:rsid w:val="009051B0"/>
    <w:rsid w:val="00906A7B"/>
    <w:rsid w:val="00907D31"/>
    <w:rsid w:val="00910259"/>
    <w:rsid w:val="009107AA"/>
    <w:rsid w:val="00910A46"/>
    <w:rsid w:val="00911452"/>
    <w:rsid w:val="00912074"/>
    <w:rsid w:val="00912DAC"/>
    <w:rsid w:val="009139DB"/>
    <w:rsid w:val="009142BE"/>
    <w:rsid w:val="009143B7"/>
    <w:rsid w:val="009144F4"/>
    <w:rsid w:val="00914D86"/>
    <w:rsid w:val="009151B0"/>
    <w:rsid w:val="009158FE"/>
    <w:rsid w:val="00916856"/>
    <w:rsid w:val="009169C7"/>
    <w:rsid w:val="00916E52"/>
    <w:rsid w:val="00917D79"/>
    <w:rsid w:val="00917FDE"/>
    <w:rsid w:val="009218A1"/>
    <w:rsid w:val="00921CC3"/>
    <w:rsid w:val="00922EB5"/>
    <w:rsid w:val="00923465"/>
    <w:rsid w:val="00924B2F"/>
    <w:rsid w:val="00925FD8"/>
    <w:rsid w:val="00926146"/>
    <w:rsid w:val="00926160"/>
    <w:rsid w:val="009266FC"/>
    <w:rsid w:val="009273B7"/>
    <w:rsid w:val="0092774F"/>
    <w:rsid w:val="00930C1D"/>
    <w:rsid w:val="00931887"/>
    <w:rsid w:val="00931E41"/>
    <w:rsid w:val="00932296"/>
    <w:rsid w:val="009327A9"/>
    <w:rsid w:val="00932DC5"/>
    <w:rsid w:val="009332B4"/>
    <w:rsid w:val="009334BF"/>
    <w:rsid w:val="00933C58"/>
    <w:rsid w:val="0093437F"/>
    <w:rsid w:val="00934676"/>
    <w:rsid w:val="009347E9"/>
    <w:rsid w:val="00934870"/>
    <w:rsid w:val="00934D3C"/>
    <w:rsid w:val="00937213"/>
    <w:rsid w:val="0093765E"/>
    <w:rsid w:val="00937875"/>
    <w:rsid w:val="00940B75"/>
    <w:rsid w:val="0094111D"/>
    <w:rsid w:val="00941E14"/>
    <w:rsid w:val="00943A59"/>
    <w:rsid w:val="00944011"/>
    <w:rsid w:val="009440EF"/>
    <w:rsid w:val="00946586"/>
    <w:rsid w:val="009465D7"/>
    <w:rsid w:val="009468D3"/>
    <w:rsid w:val="00946B70"/>
    <w:rsid w:val="009473F3"/>
    <w:rsid w:val="0094799F"/>
    <w:rsid w:val="0095026B"/>
    <w:rsid w:val="00950518"/>
    <w:rsid w:val="00951C4F"/>
    <w:rsid w:val="00952312"/>
    <w:rsid w:val="00952457"/>
    <w:rsid w:val="00952775"/>
    <w:rsid w:val="00954290"/>
    <w:rsid w:val="0095553D"/>
    <w:rsid w:val="00955B7A"/>
    <w:rsid w:val="00955F3A"/>
    <w:rsid w:val="00956583"/>
    <w:rsid w:val="00957D1B"/>
    <w:rsid w:val="00957F07"/>
    <w:rsid w:val="0096074D"/>
    <w:rsid w:val="00960E6A"/>
    <w:rsid w:val="009615C5"/>
    <w:rsid w:val="00961BAB"/>
    <w:rsid w:val="009627FD"/>
    <w:rsid w:val="00962C9F"/>
    <w:rsid w:val="00962E63"/>
    <w:rsid w:val="00964591"/>
    <w:rsid w:val="00964662"/>
    <w:rsid w:val="00965AF8"/>
    <w:rsid w:val="00965C7E"/>
    <w:rsid w:val="00966D9C"/>
    <w:rsid w:val="009677F3"/>
    <w:rsid w:val="00967BAB"/>
    <w:rsid w:val="00967C6A"/>
    <w:rsid w:val="009703C0"/>
    <w:rsid w:val="0097152D"/>
    <w:rsid w:val="00971FF3"/>
    <w:rsid w:val="00972AF5"/>
    <w:rsid w:val="009749A5"/>
    <w:rsid w:val="00976886"/>
    <w:rsid w:val="009768C9"/>
    <w:rsid w:val="00977AA7"/>
    <w:rsid w:val="00977F5B"/>
    <w:rsid w:val="00980758"/>
    <w:rsid w:val="0098248D"/>
    <w:rsid w:val="00982CFC"/>
    <w:rsid w:val="00983FB5"/>
    <w:rsid w:val="009843A1"/>
    <w:rsid w:val="00984486"/>
    <w:rsid w:val="00984AB7"/>
    <w:rsid w:val="00984AB8"/>
    <w:rsid w:val="00984C0F"/>
    <w:rsid w:val="00984FFA"/>
    <w:rsid w:val="00985D97"/>
    <w:rsid w:val="00985EA7"/>
    <w:rsid w:val="00986198"/>
    <w:rsid w:val="00986470"/>
    <w:rsid w:val="00987084"/>
    <w:rsid w:val="009876AB"/>
    <w:rsid w:val="009903EE"/>
    <w:rsid w:val="00990BD5"/>
    <w:rsid w:val="00991B9C"/>
    <w:rsid w:val="00991EE3"/>
    <w:rsid w:val="00991FDD"/>
    <w:rsid w:val="00992617"/>
    <w:rsid w:val="009928E0"/>
    <w:rsid w:val="00992D23"/>
    <w:rsid w:val="00993703"/>
    <w:rsid w:val="00993AC3"/>
    <w:rsid w:val="00993C94"/>
    <w:rsid w:val="00993FBA"/>
    <w:rsid w:val="00995C4D"/>
    <w:rsid w:val="00995C62"/>
    <w:rsid w:val="00996081"/>
    <w:rsid w:val="00996A7A"/>
    <w:rsid w:val="00997022"/>
    <w:rsid w:val="00997079"/>
    <w:rsid w:val="00997336"/>
    <w:rsid w:val="009A03E6"/>
    <w:rsid w:val="009A1183"/>
    <w:rsid w:val="009A1530"/>
    <w:rsid w:val="009A2BC6"/>
    <w:rsid w:val="009A31E9"/>
    <w:rsid w:val="009A3475"/>
    <w:rsid w:val="009A38B4"/>
    <w:rsid w:val="009A3A6C"/>
    <w:rsid w:val="009A4981"/>
    <w:rsid w:val="009A51F6"/>
    <w:rsid w:val="009A6272"/>
    <w:rsid w:val="009A65B6"/>
    <w:rsid w:val="009A6C65"/>
    <w:rsid w:val="009A757F"/>
    <w:rsid w:val="009B062D"/>
    <w:rsid w:val="009B0C91"/>
    <w:rsid w:val="009B1092"/>
    <w:rsid w:val="009B1136"/>
    <w:rsid w:val="009B1265"/>
    <w:rsid w:val="009B20F0"/>
    <w:rsid w:val="009B2720"/>
    <w:rsid w:val="009B29D4"/>
    <w:rsid w:val="009B3282"/>
    <w:rsid w:val="009B4035"/>
    <w:rsid w:val="009B412C"/>
    <w:rsid w:val="009B429B"/>
    <w:rsid w:val="009B6310"/>
    <w:rsid w:val="009B64A7"/>
    <w:rsid w:val="009B6DC6"/>
    <w:rsid w:val="009B6DF4"/>
    <w:rsid w:val="009C0403"/>
    <w:rsid w:val="009C0A39"/>
    <w:rsid w:val="009C2ECD"/>
    <w:rsid w:val="009C31AA"/>
    <w:rsid w:val="009C3455"/>
    <w:rsid w:val="009C36A7"/>
    <w:rsid w:val="009C5902"/>
    <w:rsid w:val="009C5D5C"/>
    <w:rsid w:val="009C7724"/>
    <w:rsid w:val="009C7D8B"/>
    <w:rsid w:val="009D0841"/>
    <w:rsid w:val="009D1982"/>
    <w:rsid w:val="009D2262"/>
    <w:rsid w:val="009D2294"/>
    <w:rsid w:val="009D2FE0"/>
    <w:rsid w:val="009D3C49"/>
    <w:rsid w:val="009D3D82"/>
    <w:rsid w:val="009D421F"/>
    <w:rsid w:val="009D4A8D"/>
    <w:rsid w:val="009D4AE6"/>
    <w:rsid w:val="009D4EB0"/>
    <w:rsid w:val="009D4F61"/>
    <w:rsid w:val="009D54F8"/>
    <w:rsid w:val="009D566E"/>
    <w:rsid w:val="009D6162"/>
    <w:rsid w:val="009D6205"/>
    <w:rsid w:val="009D6397"/>
    <w:rsid w:val="009D64C6"/>
    <w:rsid w:val="009D76B5"/>
    <w:rsid w:val="009D7722"/>
    <w:rsid w:val="009E112B"/>
    <w:rsid w:val="009E1DFA"/>
    <w:rsid w:val="009E1E38"/>
    <w:rsid w:val="009E290F"/>
    <w:rsid w:val="009E2947"/>
    <w:rsid w:val="009E2C7D"/>
    <w:rsid w:val="009E2F53"/>
    <w:rsid w:val="009E3754"/>
    <w:rsid w:val="009E46FC"/>
    <w:rsid w:val="009E5211"/>
    <w:rsid w:val="009E5C67"/>
    <w:rsid w:val="009E7618"/>
    <w:rsid w:val="009E7ADE"/>
    <w:rsid w:val="009F102B"/>
    <w:rsid w:val="009F1138"/>
    <w:rsid w:val="009F1E1D"/>
    <w:rsid w:val="009F2238"/>
    <w:rsid w:val="009F22B6"/>
    <w:rsid w:val="009F240A"/>
    <w:rsid w:val="009F30F9"/>
    <w:rsid w:val="009F3F6B"/>
    <w:rsid w:val="009F49E0"/>
    <w:rsid w:val="009F5218"/>
    <w:rsid w:val="009F629A"/>
    <w:rsid w:val="009F67E4"/>
    <w:rsid w:val="009F72A1"/>
    <w:rsid w:val="009F77FD"/>
    <w:rsid w:val="009F7CF9"/>
    <w:rsid w:val="00A009AD"/>
    <w:rsid w:val="00A00BA8"/>
    <w:rsid w:val="00A01446"/>
    <w:rsid w:val="00A014FB"/>
    <w:rsid w:val="00A01DFF"/>
    <w:rsid w:val="00A02469"/>
    <w:rsid w:val="00A0249B"/>
    <w:rsid w:val="00A0296B"/>
    <w:rsid w:val="00A02CE7"/>
    <w:rsid w:val="00A02DCE"/>
    <w:rsid w:val="00A02FF8"/>
    <w:rsid w:val="00A03BB9"/>
    <w:rsid w:val="00A045BC"/>
    <w:rsid w:val="00A05B4F"/>
    <w:rsid w:val="00A07416"/>
    <w:rsid w:val="00A101E9"/>
    <w:rsid w:val="00A10AD4"/>
    <w:rsid w:val="00A10B67"/>
    <w:rsid w:val="00A10C67"/>
    <w:rsid w:val="00A12084"/>
    <w:rsid w:val="00A1230B"/>
    <w:rsid w:val="00A12D3F"/>
    <w:rsid w:val="00A13191"/>
    <w:rsid w:val="00A13488"/>
    <w:rsid w:val="00A139B3"/>
    <w:rsid w:val="00A14C30"/>
    <w:rsid w:val="00A15207"/>
    <w:rsid w:val="00A16226"/>
    <w:rsid w:val="00A16B44"/>
    <w:rsid w:val="00A16BDE"/>
    <w:rsid w:val="00A173E9"/>
    <w:rsid w:val="00A20640"/>
    <w:rsid w:val="00A2082E"/>
    <w:rsid w:val="00A20A91"/>
    <w:rsid w:val="00A22170"/>
    <w:rsid w:val="00A22205"/>
    <w:rsid w:val="00A224F4"/>
    <w:rsid w:val="00A225A5"/>
    <w:rsid w:val="00A23CC7"/>
    <w:rsid w:val="00A24691"/>
    <w:rsid w:val="00A24EF9"/>
    <w:rsid w:val="00A2601B"/>
    <w:rsid w:val="00A26CCD"/>
    <w:rsid w:val="00A26EC7"/>
    <w:rsid w:val="00A2738E"/>
    <w:rsid w:val="00A276CE"/>
    <w:rsid w:val="00A305D6"/>
    <w:rsid w:val="00A31F6B"/>
    <w:rsid w:val="00A321B1"/>
    <w:rsid w:val="00A324BE"/>
    <w:rsid w:val="00A324CB"/>
    <w:rsid w:val="00A325C1"/>
    <w:rsid w:val="00A32B4C"/>
    <w:rsid w:val="00A330F1"/>
    <w:rsid w:val="00A33393"/>
    <w:rsid w:val="00A3381B"/>
    <w:rsid w:val="00A3428E"/>
    <w:rsid w:val="00A34620"/>
    <w:rsid w:val="00A355E0"/>
    <w:rsid w:val="00A356A5"/>
    <w:rsid w:val="00A37280"/>
    <w:rsid w:val="00A379F4"/>
    <w:rsid w:val="00A37E27"/>
    <w:rsid w:val="00A4059E"/>
    <w:rsid w:val="00A4061D"/>
    <w:rsid w:val="00A40633"/>
    <w:rsid w:val="00A40F05"/>
    <w:rsid w:val="00A42B35"/>
    <w:rsid w:val="00A439C2"/>
    <w:rsid w:val="00A43DF0"/>
    <w:rsid w:val="00A43E73"/>
    <w:rsid w:val="00A43F74"/>
    <w:rsid w:val="00A44E3A"/>
    <w:rsid w:val="00A45385"/>
    <w:rsid w:val="00A45653"/>
    <w:rsid w:val="00A45B8C"/>
    <w:rsid w:val="00A45C77"/>
    <w:rsid w:val="00A46831"/>
    <w:rsid w:val="00A46F49"/>
    <w:rsid w:val="00A47694"/>
    <w:rsid w:val="00A47A32"/>
    <w:rsid w:val="00A47FC1"/>
    <w:rsid w:val="00A50469"/>
    <w:rsid w:val="00A51AED"/>
    <w:rsid w:val="00A52034"/>
    <w:rsid w:val="00A520F1"/>
    <w:rsid w:val="00A521F8"/>
    <w:rsid w:val="00A528FF"/>
    <w:rsid w:val="00A53A04"/>
    <w:rsid w:val="00A53D8B"/>
    <w:rsid w:val="00A54CA9"/>
    <w:rsid w:val="00A559EA"/>
    <w:rsid w:val="00A5606D"/>
    <w:rsid w:val="00A56925"/>
    <w:rsid w:val="00A577D5"/>
    <w:rsid w:val="00A57AE6"/>
    <w:rsid w:val="00A6044C"/>
    <w:rsid w:val="00A60576"/>
    <w:rsid w:val="00A60AF3"/>
    <w:rsid w:val="00A61015"/>
    <w:rsid w:val="00A6217A"/>
    <w:rsid w:val="00A62751"/>
    <w:rsid w:val="00A64446"/>
    <w:rsid w:val="00A64834"/>
    <w:rsid w:val="00A651BA"/>
    <w:rsid w:val="00A65884"/>
    <w:rsid w:val="00A65B45"/>
    <w:rsid w:val="00A65D1A"/>
    <w:rsid w:val="00A66054"/>
    <w:rsid w:val="00A67844"/>
    <w:rsid w:val="00A717C8"/>
    <w:rsid w:val="00A7260E"/>
    <w:rsid w:val="00A726A8"/>
    <w:rsid w:val="00A72A64"/>
    <w:rsid w:val="00A735EC"/>
    <w:rsid w:val="00A735F2"/>
    <w:rsid w:val="00A73D3C"/>
    <w:rsid w:val="00A73E2C"/>
    <w:rsid w:val="00A7420C"/>
    <w:rsid w:val="00A74258"/>
    <w:rsid w:val="00A74606"/>
    <w:rsid w:val="00A7487A"/>
    <w:rsid w:val="00A74BB7"/>
    <w:rsid w:val="00A74E44"/>
    <w:rsid w:val="00A755A0"/>
    <w:rsid w:val="00A75632"/>
    <w:rsid w:val="00A75C85"/>
    <w:rsid w:val="00A75E86"/>
    <w:rsid w:val="00A76EEA"/>
    <w:rsid w:val="00A771FD"/>
    <w:rsid w:val="00A77367"/>
    <w:rsid w:val="00A77C25"/>
    <w:rsid w:val="00A77E1B"/>
    <w:rsid w:val="00A806A2"/>
    <w:rsid w:val="00A8074B"/>
    <w:rsid w:val="00A810B0"/>
    <w:rsid w:val="00A8118E"/>
    <w:rsid w:val="00A81237"/>
    <w:rsid w:val="00A8292C"/>
    <w:rsid w:val="00A83623"/>
    <w:rsid w:val="00A8420F"/>
    <w:rsid w:val="00A842FB"/>
    <w:rsid w:val="00A84F1F"/>
    <w:rsid w:val="00A84FCB"/>
    <w:rsid w:val="00A85E79"/>
    <w:rsid w:val="00A85FA5"/>
    <w:rsid w:val="00A86244"/>
    <w:rsid w:val="00A869A9"/>
    <w:rsid w:val="00A86ED2"/>
    <w:rsid w:val="00A87324"/>
    <w:rsid w:val="00A87ADC"/>
    <w:rsid w:val="00A9030A"/>
    <w:rsid w:val="00A9071A"/>
    <w:rsid w:val="00A90863"/>
    <w:rsid w:val="00A90FEE"/>
    <w:rsid w:val="00A9234E"/>
    <w:rsid w:val="00A92447"/>
    <w:rsid w:val="00A9254C"/>
    <w:rsid w:val="00A93DA5"/>
    <w:rsid w:val="00A947AA"/>
    <w:rsid w:val="00A95973"/>
    <w:rsid w:val="00A95BBD"/>
    <w:rsid w:val="00A95F11"/>
    <w:rsid w:val="00A9663C"/>
    <w:rsid w:val="00A96A2E"/>
    <w:rsid w:val="00A96AE8"/>
    <w:rsid w:val="00A9709E"/>
    <w:rsid w:val="00A9786F"/>
    <w:rsid w:val="00A97C09"/>
    <w:rsid w:val="00AA00DD"/>
    <w:rsid w:val="00AA0626"/>
    <w:rsid w:val="00AA0F8D"/>
    <w:rsid w:val="00AA1074"/>
    <w:rsid w:val="00AA1F5C"/>
    <w:rsid w:val="00AA218B"/>
    <w:rsid w:val="00AA2766"/>
    <w:rsid w:val="00AA2AA9"/>
    <w:rsid w:val="00AA306B"/>
    <w:rsid w:val="00AA3111"/>
    <w:rsid w:val="00AA42AA"/>
    <w:rsid w:val="00AA5395"/>
    <w:rsid w:val="00AA5879"/>
    <w:rsid w:val="00AA69AC"/>
    <w:rsid w:val="00AA6D13"/>
    <w:rsid w:val="00AA6EB8"/>
    <w:rsid w:val="00AA6F52"/>
    <w:rsid w:val="00AB0E57"/>
    <w:rsid w:val="00AB1864"/>
    <w:rsid w:val="00AB20F2"/>
    <w:rsid w:val="00AB230F"/>
    <w:rsid w:val="00AB2364"/>
    <w:rsid w:val="00AB243B"/>
    <w:rsid w:val="00AB2EAC"/>
    <w:rsid w:val="00AB3184"/>
    <w:rsid w:val="00AB5490"/>
    <w:rsid w:val="00AB5B8D"/>
    <w:rsid w:val="00AB681F"/>
    <w:rsid w:val="00AB6B1B"/>
    <w:rsid w:val="00AB6C94"/>
    <w:rsid w:val="00AB738E"/>
    <w:rsid w:val="00AB7759"/>
    <w:rsid w:val="00AC09F7"/>
    <w:rsid w:val="00AC0B36"/>
    <w:rsid w:val="00AC0E50"/>
    <w:rsid w:val="00AC0F3D"/>
    <w:rsid w:val="00AC1E42"/>
    <w:rsid w:val="00AC1F63"/>
    <w:rsid w:val="00AC229B"/>
    <w:rsid w:val="00AC2C91"/>
    <w:rsid w:val="00AC33CB"/>
    <w:rsid w:val="00AC3494"/>
    <w:rsid w:val="00AC3BFB"/>
    <w:rsid w:val="00AC3C9C"/>
    <w:rsid w:val="00AC4BF7"/>
    <w:rsid w:val="00AC51BD"/>
    <w:rsid w:val="00AC536A"/>
    <w:rsid w:val="00AC6478"/>
    <w:rsid w:val="00AC67A0"/>
    <w:rsid w:val="00AC697C"/>
    <w:rsid w:val="00AC76BF"/>
    <w:rsid w:val="00AD005E"/>
    <w:rsid w:val="00AD0599"/>
    <w:rsid w:val="00AD0D47"/>
    <w:rsid w:val="00AD1D6D"/>
    <w:rsid w:val="00AD2211"/>
    <w:rsid w:val="00AD38DD"/>
    <w:rsid w:val="00AD3C8B"/>
    <w:rsid w:val="00AD40FF"/>
    <w:rsid w:val="00AD4AA7"/>
    <w:rsid w:val="00AD4BDD"/>
    <w:rsid w:val="00AD4E33"/>
    <w:rsid w:val="00AD50B5"/>
    <w:rsid w:val="00AD5133"/>
    <w:rsid w:val="00AD5FA3"/>
    <w:rsid w:val="00AD670B"/>
    <w:rsid w:val="00AD6C18"/>
    <w:rsid w:val="00AD6E1D"/>
    <w:rsid w:val="00AD76D2"/>
    <w:rsid w:val="00AD7C82"/>
    <w:rsid w:val="00AD7E19"/>
    <w:rsid w:val="00AE002F"/>
    <w:rsid w:val="00AE064E"/>
    <w:rsid w:val="00AE0CDB"/>
    <w:rsid w:val="00AE2184"/>
    <w:rsid w:val="00AE21DB"/>
    <w:rsid w:val="00AE2847"/>
    <w:rsid w:val="00AE3CFE"/>
    <w:rsid w:val="00AE40D2"/>
    <w:rsid w:val="00AE4C02"/>
    <w:rsid w:val="00AE5224"/>
    <w:rsid w:val="00AE56C1"/>
    <w:rsid w:val="00AE593F"/>
    <w:rsid w:val="00AE6104"/>
    <w:rsid w:val="00AE621D"/>
    <w:rsid w:val="00AE63D6"/>
    <w:rsid w:val="00AE6EE5"/>
    <w:rsid w:val="00AE70AB"/>
    <w:rsid w:val="00AE71F4"/>
    <w:rsid w:val="00AE7655"/>
    <w:rsid w:val="00AE7836"/>
    <w:rsid w:val="00AF0839"/>
    <w:rsid w:val="00AF08A1"/>
    <w:rsid w:val="00AF0B2A"/>
    <w:rsid w:val="00AF0F58"/>
    <w:rsid w:val="00AF2B7E"/>
    <w:rsid w:val="00AF3006"/>
    <w:rsid w:val="00AF33A3"/>
    <w:rsid w:val="00AF3575"/>
    <w:rsid w:val="00AF37CA"/>
    <w:rsid w:val="00AF4D3A"/>
    <w:rsid w:val="00AF4D88"/>
    <w:rsid w:val="00AF6222"/>
    <w:rsid w:val="00AF6E79"/>
    <w:rsid w:val="00AF6EBD"/>
    <w:rsid w:val="00AF75F5"/>
    <w:rsid w:val="00AF79C4"/>
    <w:rsid w:val="00B00EC2"/>
    <w:rsid w:val="00B00F79"/>
    <w:rsid w:val="00B03DF7"/>
    <w:rsid w:val="00B04590"/>
    <w:rsid w:val="00B054CA"/>
    <w:rsid w:val="00B056EA"/>
    <w:rsid w:val="00B05FBB"/>
    <w:rsid w:val="00B06DD3"/>
    <w:rsid w:val="00B07970"/>
    <w:rsid w:val="00B079E1"/>
    <w:rsid w:val="00B110A2"/>
    <w:rsid w:val="00B11627"/>
    <w:rsid w:val="00B11685"/>
    <w:rsid w:val="00B11BCC"/>
    <w:rsid w:val="00B11C7F"/>
    <w:rsid w:val="00B1223D"/>
    <w:rsid w:val="00B12C62"/>
    <w:rsid w:val="00B1306A"/>
    <w:rsid w:val="00B13BB3"/>
    <w:rsid w:val="00B147B4"/>
    <w:rsid w:val="00B15733"/>
    <w:rsid w:val="00B166EF"/>
    <w:rsid w:val="00B167E9"/>
    <w:rsid w:val="00B1734C"/>
    <w:rsid w:val="00B17E2A"/>
    <w:rsid w:val="00B203F4"/>
    <w:rsid w:val="00B205C4"/>
    <w:rsid w:val="00B20F90"/>
    <w:rsid w:val="00B21465"/>
    <w:rsid w:val="00B2171F"/>
    <w:rsid w:val="00B21F14"/>
    <w:rsid w:val="00B228E9"/>
    <w:rsid w:val="00B22C4E"/>
    <w:rsid w:val="00B241E8"/>
    <w:rsid w:val="00B2421A"/>
    <w:rsid w:val="00B25DF0"/>
    <w:rsid w:val="00B25E0D"/>
    <w:rsid w:val="00B262DD"/>
    <w:rsid w:val="00B26708"/>
    <w:rsid w:val="00B2683B"/>
    <w:rsid w:val="00B26A00"/>
    <w:rsid w:val="00B27212"/>
    <w:rsid w:val="00B2794A"/>
    <w:rsid w:val="00B27ECF"/>
    <w:rsid w:val="00B3013D"/>
    <w:rsid w:val="00B30DAA"/>
    <w:rsid w:val="00B3159B"/>
    <w:rsid w:val="00B31F8B"/>
    <w:rsid w:val="00B32759"/>
    <w:rsid w:val="00B32999"/>
    <w:rsid w:val="00B32D09"/>
    <w:rsid w:val="00B33F36"/>
    <w:rsid w:val="00B350D7"/>
    <w:rsid w:val="00B36FF8"/>
    <w:rsid w:val="00B372FF"/>
    <w:rsid w:val="00B37DF3"/>
    <w:rsid w:val="00B4019F"/>
    <w:rsid w:val="00B40A8E"/>
    <w:rsid w:val="00B40FB3"/>
    <w:rsid w:val="00B41BF8"/>
    <w:rsid w:val="00B41DF7"/>
    <w:rsid w:val="00B423CB"/>
    <w:rsid w:val="00B42921"/>
    <w:rsid w:val="00B42DC0"/>
    <w:rsid w:val="00B431CF"/>
    <w:rsid w:val="00B44D99"/>
    <w:rsid w:val="00B45264"/>
    <w:rsid w:val="00B45282"/>
    <w:rsid w:val="00B45482"/>
    <w:rsid w:val="00B45587"/>
    <w:rsid w:val="00B45CBE"/>
    <w:rsid w:val="00B46267"/>
    <w:rsid w:val="00B46AE9"/>
    <w:rsid w:val="00B47792"/>
    <w:rsid w:val="00B47844"/>
    <w:rsid w:val="00B5285E"/>
    <w:rsid w:val="00B52BEE"/>
    <w:rsid w:val="00B53B05"/>
    <w:rsid w:val="00B53FC4"/>
    <w:rsid w:val="00B54557"/>
    <w:rsid w:val="00B54D03"/>
    <w:rsid w:val="00B5598E"/>
    <w:rsid w:val="00B56136"/>
    <w:rsid w:val="00B57118"/>
    <w:rsid w:val="00B6152F"/>
    <w:rsid w:val="00B617ED"/>
    <w:rsid w:val="00B636DB"/>
    <w:rsid w:val="00B6373D"/>
    <w:rsid w:val="00B637BC"/>
    <w:rsid w:val="00B63944"/>
    <w:rsid w:val="00B648AB"/>
    <w:rsid w:val="00B666DB"/>
    <w:rsid w:val="00B66BAD"/>
    <w:rsid w:val="00B67602"/>
    <w:rsid w:val="00B6761C"/>
    <w:rsid w:val="00B6777C"/>
    <w:rsid w:val="00B700A1"/>
    <w:rsid w:val="00B7036A"/>
    <w:rsid w:val="00B70DBC"/>
    <w:rsid w:val="00B719F6"/>
    <w:rsid w:val="00B72244"/>
    <w:rsid w:val="00B72260"/>
    <w:rsid w:val="00B72975"/>
    <w:rsid w:val="00B72E42"/>
    <w:rsid w:val="00B73210"/>
    <w:rsid w:val="00B747BA"/>
    <w:rsid w:val="00B74976"/>
    <w:rsid w:val="00B74CE8"/>
    <w:rsid w:val="00B74DB7"/>
    <w:rsid w:val="00B7509B"/>
    <w:rsid w:val="00B75D65"/>
    <w:rsid w:val="00B76BB1"/>
    <w:rsid w:val="00B770CF"/>
    <w:rsid w:val="00B770D3"/>
    <w:rsid w:val="00B77DB5"/>
    <w:rsid w:val="00B80BE7"/>
    <w:rsid w:val="00B81C79"/>
    <w:rsid w:val="00B81F56"/>
    <w:rsid w:val="00B82262"/>
    <w:rsid w:val="00B83122"/>
    <w:rsid w:val="00B83FA5"/>
    <w:rsid w:val="00B844BC"/>
    <w:rsid w:val="00B848E6"/>
    <w:rsid w:val="00B85172"/>
    <w:rsid w:val="00B85581"/>
    <w:rsid w:val="00B86141"/>
    <w:rsid w:val="00B864F3"/>
    <w:rsid w:val="00B86D30"/>
    <w:rsid w:val="00B87884"/>
    <w:rsid w:val="00B879E9"/>
    <w:rsid w:val="00B90E60"/>
    <w:rsid w:val="00B90E99"/>
    <w:rsid w:val="00B90EAD"/>
    <w:rsid w:val="00B919A8"/>
    <w:rsid w:val="00B92732"/>
    <w:rsid w:val="00B92873"/>
    <w:rsid w:val="00B92D12"/>
    <w:rsid w:val="00B935CC"/>
    <w:rsid w:val="00B94F65"/>
    <w:rsid w:val="00B95489"/>
    <w:rsid w:val="00B955D9"/>
    <w:rsid w:val="00B95F7B"/>
    <w:rsid w:val="00BA0D21"/>
    <w:rsid w:val="00BA1013"/>
    <w:rsid w:val="00BA1CD6"/>
    <w:rsid w:val="00BA20FD"/>
    <w:rsid w:val="00BA391F"/>
    <w:rsid w:val="00BA397D"/>
    <w:rsid w:val="00BA3CBF"/>
    <w:rsid w:val="00BA4F94"/>
    <w:rsid w:val="00BA5C85"/>
    <w:rsid w:val="00BA5FFC"/>
    <w:rsid w:val="00BA788B"/>
    <w:rsid w:val="00BA799F"/>
    <w:rsid w:val="00BB0209"/>
    <w:rsid w:val="00BB0675"/>
    <w:rsid w:val="00BB09C4"/>
    <w:rsid w:val="00BB18D0"/>
    <w:rsid w:val="00BB20A5"/>
    <w:rsid w:val="00BB348D"/>
    <w:rsid w:val="00BB390C"/>
    <w:rsid w:val="00BB515D"/>
    <w:rsid w:val="00BB523B"/>
    <w:rsid w:val="00BB589D"/>
    <w:rsid w:val="00BB6E6E"/>
    <w:rsid w:val="00BB711C"/>
    <w:rsid w:val="00BC0456"/>
    <w:rsid w:val="00BC0E5D"/>
    <w:rsid w:val="00BC11B4"/>
    <w:rsid w:val="00BC1467"/>
    <w:rsid w:val="00BC18F3"/>
    <w:rsid w:val="00BC29F1"/>
    <w:rsid w:val="00BC2A0B"/>
    <w:rsid w:val="00BC2D55"/>
    <w:rsid w:val="00BC2D76"/>
    <w:rsid w:val="00BC3883"/>
    <w:rsid w:val="00BC3B4F"/>
    <w:rsid w:val="00BC4B44"/>
    <w:rsid w:val="00BC4F20"/>
    <w:rsid w:val="00BC5D20"/>
    <w:rsid w:val="00BC66F8"/>
    <w:rsid w:val="00BC6856"/>
    <w:rsid w:val="00BC797F"/>
    <w:rsid w:val="00BD0715"/>
    <w:rsid w:val="00BD1BDB"/>
    <w:rsid w:val="00BD2554"/>
    <w:rsid w:val="00BD29B0"/>
    <w:rsid w:val="00BD2FC8"/>
    <w:rsid w:val="00BD332F"/>
    <w:rsid w:val="00BD3D62"/>
    <w:rsid w:val="00BD4200"/>
    <w:rsid w:val="00BD4444"/>
    <w:rsid w:val="00BD4F45"/>
    <w:rsid w:val="00BD60FF"/>
    <w:rsid w:val="00BD6DB3"/>
    <w:rsid w:val="00BD732E"/>
    <w:rsid w:val="00BD7961"/>
    <w:rsid w:val="00BD7A91"/>
    <w:rsid w:val="00BD7E53"/>
    <w:rsid w:val="00BE0139"/>
    <w:rsid w:val="00BE0505"/>
    <w:rsid w:val="00BE0845"/>
    <w:rsid w:val="00BE0E99"/>
    <w:rsid w:val="00BE1068"/>
    <w:rsid w:val="00BE22FB"/>
    <w:rsid w:val="00BE3070"/>
    <w:rsid w:val="00BE3CB2"/>
    <w:rsid w:val="00BE49DD"/>
    <w:rsid w:val="00BE5A09"/>
    <w:rsid w:val="00BE65CA"/>
    <w:rsid w:val="00BE66B3"/>
    <w:rsid w:val="00BE6744"/>
    <w:rsid w:val="00BE6A1F"/>
    <w:rsid w:val="00BE6C87"/>
    <w:rsid w:val="00BF02C5"/>
    <w:rsid w:val="00BF07F0"/>
    <w:rsid w:val="00BF11C9"/>
    <w:rsid w:val="00BF16B9"/>
    <w:rsid w:val="00BF23EE"/>
    <w:rsid w:val="00BF252B"/>
    <w:rsid w:val="00BF2AB6"/>
    <w:rsid w:val="00BF3689"/>
    <w:rsid w:val="00BF4A19"/>
    <w:rsid w:val="00BF55C4"/>
    <w:rsid w:val="00BF5BE9"/>
    <w:rsid w:val="00BF63B6"/>
    <w:rsid w:val="00BF6477"/>
    <w:rsid w:val="00BF6778"/>
    <w:rsid w:val="00BF7263"/>
    <w:rsid w:val="00BF72A7"/>
    <w:rsid w:val="00C0053F"/>
    <w:rsid w:val="00C009E8"/>
    <w:rsid w:val="00C016C8"/>
    <w:rsid w:val="00C018A4"/>
    <w:rsid w:val="00C019F2"/>
    <w:rsid w:val="00C02B5D"/>
    <w:rsid w:val="00C034F8"/>
    <w:rsid w:val="00C03576"/>
    <w:rsid w:val="00C03642"/>
    <w:rsid w:val="00C04BAF"/>
    <w:rsid w:val="00C05403"/>
    <w:rsid w:val="00C05965"/>
    <w:rsid w:val="00C05D2E"/>
    <w:rsid w:val="00C07D26"/>
    <w:rsid w:val="00C106E8"/>
    <w:rsid w:val="00C10B55"/>
    <w:rsid w:val="00C10CE9"/>
    <w:rsid w:val="00C10FF6"/>
    <w:rsid w:val="00C118D1"/>
    <w:rsid w:val="00C127E9"/>
    <w:rsid w:val="00C13C5E"/>
    <w:rsid w:val="00C13F01"/>
    <w:rsid w:val="00C14863"/>
    <w:rsid w:val="00C14B3A"/>
    <w:rsid w:val="00C15B6F"/>
    <w:rsid w:val="00C1714D"/>
    <w:rsid w:val="00C1762D"/>
    <w:rsid w:val="00C17833"/>
    <w:rsid w:val="00C17C86"/>
    <w:rsid w:val="00C20481"/>
    <w:rsid w:val="00C20524"/>
    <w:rsid w:val="00C20719"/>
    <w:rsid w:val="00C2187A"/>
    <w:rsid w:val="00C2264A"/>
    <w:rsid w:val="00C23273"/>
    <w:rsid w:val="00C23EFB"/>
    <w:rsid w:val="00C24AEB"/>
    <w:rsid w:val="00C268E2"/>
    <w:rsid w:val="00C27943"/>
    <w:rsid w:val="00C27AD1"/>
    <w:rsid w:val="00C30E73"/>
    <w:rsid w:val="00C30F24"/>
    <w:rsid w:val="00C30FB4"/>
    <w:rsid w:val="00C31192"/>
    <w:rsid w:val="00C311FB"/>
    <w:rsid w:val="00C31756"/>
    <w:rsid w:val="00C328FA"/>
    <w:rsid w:val="00C332D3"/>
    <w:rsid w:val="00C33752"/>
    <w:rsid w:val="00C33836"/>
    <w:rsid w:val="00C33913"/>
    <w:rsid w:val="00C33A0D"/>
    <w:rsid w:val="00C33C20"/>
    <w:rsid w:val="00C33D4D"/>
    <w:rsid w:val="00C342F9"/>
    <w:rsid w:val="00C343AA"/>
    <w:rsid w:val="00C34533"/>
    <w:rsid w:val="00C3475D"/>
    <w:rsid w:val="00C35BD3"/>
    <w:rsid w:val="00C35CF5"/>
    <w:rsid w:val="00C36659"/>
    <w:rsid w:val="00C36711"/>
    <w:rsid w:val="00C36C98"/>
    <w:rsid w:val="00C37208"/>
    <w:rsid w:val="00C40ECC"/>
    <w:rsid w:val="00C41F0A"/>
    <w:rsid w:val="00C42636"/>
    <w:rsid w:val="00C43C52"/>
    <w:rsid w:val="00C44B30"/>
    <w:rsid w:val="00C450F7"/>
    <w:rsid w:val="00C454B8"/>
    <w:rsid w:val="00C45AC9"/>
    <w:rsid w:val="00C45B94"/>
    <w:rsid w:val="00C45F26"/>
    <w:rsid w:val="00C4658C"/>
    <w:rsid w:val="00C46AA9"/>
    <w:rsid w:val="00C46B3D"/>
    <w:rsid w:val="00C47450"/>
    <w:rsid w:val="00C47910"/>
    <w:rsid w:val="00C47E1A"/>
    <w:rsid w:val="00C50071"/>
    <w:rsid w:val="00C51404"/>
    <w:rsid w:val="00C51B36"/>
    <w:rsid w:val="00C52093"/>
    <w:rsid w:val="00C521FB"/>
    <w:rsid w:val="00C52A64"/>
    <w:rsid w:val="00C54215"/>
    <w:rsid w:val="00C54C7B"/>
    <w:rsid w:val="00C56ADA"/>
    <w:rsid w:val="00C57B43"/>
    <w:rsid w:val="00C62150"/>
    <w:rsid w:val="00C631CF"/>
    <w:rsid w:val="00C64724"/>
    <w:rsid w:val="00C64F1A"/>
    <w:rsid w:val="00C65153"/>
    <w:rsid w:val="00C6591B"/>
    <w:rsid w:val="00C66C04"/>
    <w:rsid w:val="00C67029"/>
    <w:rsid w:val="00C6752E"/>
    <w:rsid w:val="00C67686"/>
    <w:rsid w:val="00C67B21"/>
    <w:rsid w:val="00C67B38"/>
    <w:rsid w:val="00C702E7"/>
    <w:rsid w:val="00C715C6"/>
    <w:rsid w:val="00C72A54"/>
    <w:rsid w:val="00C72A58"/>
    <w:rsid w:val="00C72B96"/>
    <w:rsid w:val="00C732B5"/>
    <w:rsid w:val="00C748D0"/>
    <w:rsid w:val="00C74C1F"/>
    <w:rsid w:val="00C7505B"/>
    <w:rsid w:val="00C75B8B"/>
    <w:rsid w:val="00C7635A"/>
    <w:rsid w:val="00C76C10"/>
    <w:rsid w:val="00C77974"/>
    <w:rsid w:val="00C801C0"/>
    <w:rsid w:val="00C81055"/>
    <w:rsid w:val="00C82761"/>
    <w:rsid w:val="00C82DFC"/>
    <w:rsid w:val="00C834A5"/>
    <w:rsid w:val="00C83CD4"/>
    <w:rsid w:val="00C83E37"/>
    <w:rsid w:val="00C844E6"/>
    <w:rsid w:val="00C857EB"/>
    <w:rsid w:val="00C85834"/>
    <w:rsid w:val="00C85A40"/>
    <w:rsid w:val="00C85B8A"/>
    <w:rsid w:val="00C85DEB"/>
    <w:rsid w:val="00C86172"/>
    <w:rsid w:val="00C86C6B"/>
    <w:rsid w:val="00C876C3"/>
    <w:rsid w:val="00C907FE"/>
    <w:rsid w:val="00C90879"/>
    <w:rsid w:val="00C90EEA"/>
    <w:rsid w:val="00C9108A"/>
    <w:rsid w:val="00C91440"/>
    <w:rsid w:val="00C91FA7"/>
    <w:rsid w:val="00C9225B"/>
    <w:rsid w:val="00C926F9"/>
    <w:rsid w:val="00C92B9E"/>
    <w:rsid w:val="00C934AB"/>
    <w:rsid w:val="00C93B14"/>
    <w:rsid w:val="00C93CC3"/>
    <w:rsid w:val="00C9408D"/>
    <w:rsid w:val="00C940B9"/>
    <w:rsid w:val="00C94443"/>
    <w:rsid w:val="00C95350"/>
    <w:rsid w:val="00C973C7"/>
    <w:rsid w:val="00C97FB2"/>
    <w:rsid w:val="00CA06C2"/>
    <w:rsid w:val="00CA0CF0"/>
    <w:rsid w:val="00CA1B09"/>
    <w:rsid w:val="00CA1C83"/>
    <w:rsid w:val="00CA2FAD"/>
    <w:rsid w:val="00CA3714"/>
    <w:rsid w:val="00CA46A1"/>
    <w:rsid w:val="00CA4798"/>
    <w:rsid w:val="00CA4DF1"/>
    <w:rsid w:val="00CA4E23"/>
    <w:rsid w:val="00CA539C"/>
    <w:rsid w:val="00CA6F9F"/>
    <w:rsid w:val="00CB0AC3"/>
    <w:rsid w:val="00CB0C33"/>
    <w:rsid w:val="00CB0D99"/>
    <w:rsid w:val="00CB1240"/>
    <w:rsid w:val="00CB154E"/>
    <w:rsid w:val="00CB24C4"/>
    <w:rsid w:val="00CB2743"/>
    <w:rsid w:val="00CB2ADE"/>
    <w:rsid w:val="00CB2C1E"/>
    <w:rsid w:val="00CB3D2D"/>
    <w:rsid w:val="00CB4BF5"/>
    <w:rsid w:val="00CB4F52"/>
    <w:rsid w:val="00CB6401"/>
    <w:rsid w:val="00CB654C"/>
    <w:rsid w:val="00CB655E"/>
    <w:rsid w:val="00CB65CA"/>
    <w:rsid w:val="00CB6920"/>
    <w:rsid w:val="00CB7338"/>
    <w:rsid w:val="00CC0244"/>
    <w:rsid w:val="00CC0ADE"/>
    <w:rsid w:val="00CC15BE"/>
    <w:rsid w:val="00CC2E41"/>
    <w:rsid w:val="00CC2F3F"/>
    <w:rsid w:val="00CC39FF"/>
    <w:rsid w:val="00CC3DB2"/>
    <w:rsid w:val="00CC42E9"/>
    <w:rsid w:val="00CC5009"/>
    <w:rsid w:val="00CC515D"/>
    <w:rsid w:val="00CC60D0"/>
    <w:rsid w:val="00CC6694"/>
    <w:rsid w:val="00CC78A0"/>
    <w:rsid w:val="00CD03CA"/>
    <w:rsid w:val="00CD0625"/>
    <w:rsid w:val="00CD0A48"/>
    <w:rsid w:val="00CD0D3C"/>
    <w:rsid w:val="00CD0FCE"/>
    <w:rsid w:val="00CD104C"/>
    <w:rsid w:val="00CD144F"/>
    <w:rsid w:val="00CD22A6"/>
    <w:rsid w:val="00CD2699"/>
    <w:rsid w:val="00CD2D3F"/>
    <w:rsid w:val="00CD2DD3"/>
    <w:rsid w:val="00CD30FC"/>
    <w:rsid w:val="00CD353D"/>
    <w:rsid w:val="00CD3836"/>
    <w:rsid w:val="00CD3D7C"/>
    <w:rsid w:val="00CD455F"/>
    <w:rsid w:val="00CD58B0"/>
    <w:rsid w:val="00CD5957"/>
    <w:rsid w:val="00CD5BCE"/>
    <w:rsid w:val="00CD5C34"/>
    <w:rsid w:val="00CD7259"/>
    <w:rsid w:val="00CD7FD9"/>
    <w:rsid w:val="00CE0175"/>
    <w:rsid w:val="00CE0551"/>
    <w:rsid w:val="00CE1F02"/>
    <w:rsid w:val="00CE24E9"/>
    <w:rsid w:val="00CE2C0C"/>
    <w:rsid w:val="00CE2E76"/>
    <w:rsid w:val="00CE3E49"/>
    <w:rsid w:val="00CE56D3"/>
    <w:rsid w:val="00CE5B4B"/>
    <w:rsid w:val="00CE5BB1"/>
    <w:rsid w:val="00CE6183"/>
    <w:rsid w:val="00CE7258"/>
    <w:rsid w:val="00CE7AD4"/>
    <w:rsid w:val="00CF007F"/>
    <w:rsid w:val="00CF0366"/>
    <w:rsid w:val="00CF07D5"/>
    <w:rsid w:val="00CF0AE1"/>
    <w:rsid w:val="00CF0CAC"/>
    <w:rsid w:val="00CF0F25"/>
    <w:rsid w:val="00CF188E"/>
    <w:rsid w:val="00CF1CD9"/>
    <w:rsid w:val="00CF2482"/>
    <w:rsid w:val="00CF27CC"/>
    <w:rsid w:val="00CF2E9D"/>
    <w:rsid w:val="00CF3746"/>
    <w:rsid w:val="00CF3976"/>
    <w:rsid w:val="00CF3CE5"/>
    <w:rsid w:val="00CF4C76"/>
    <w:rsid w:val="00CF4D56"/>
    <w:rsid w:val="00CF5496"/>
    <w:rsid w:val="00CF5BDA"/>
    <w:rsid w:val="00CF6545"/>
    <w:rsid w:val="00CF6B57"/>
    <w:rsid w:val="00CF6E68"/>
    <w:rsid w:val="00CF7A92"/>
    <w:rsid w:val="00D00107"/>
    <w:rsid w:val="00D002D2"/>
    <w:rsid w:val="00D00F52"/>
    <w:rsid w:val="00D0162E"/>
    <w:rsid w:val="00D0231D"/>
    <w:rsid w:val="00D02349"/>
    <w:rsid w:val="00D02630"/>
    <w:rsid w:val="00D02FB5"/>
    <w:rsid w:val="00D031D8"/>
    <w:rsid w:val="00D036D6"/>
    <w:rsid w:val="00D03E3C"/>
    <w:rsid w:val="00D04B5B"/>
    <w:rsid w:val="00D04CA6"/>
    <w:rsid w:val="00D05DEB"/>
    <w:rsid w:val="00D0697A"/>
    <w:rsid w:val="00D07943"/>
    <w:rsid w:val="00D10B49"/>
    <w:rsid w:val="00D12FC6"/>
    <w:rsid w:val="00D1411D"/>
    <w:rsid w:val="00D143B2"/>
    <w:rsid w:val="00D14F70"/>
    <w:rsid w:val="00D15CCE"/>
    <w:rsid w:val="00D16189"/>
    <w:rsid w:val="00D166D6"/>
    <w:rsid w:val="00D1794C"/>
    <w:rsid w:val="00D17FD2"/>
    <w:rsid w:val="00D20598"/>
    <w:rsid w:val="00D205E5"/>
    <w:rsid w:val="00D207D8"/>
    <w:rsid w:val="00D20D6C"/>
    <w:rsid w:val="00D212D3"/>
    <w:rsid w:val="00D23408"/>
    <w:rsid w:val="00D2559D"/>
    <w:rsid w:val="00D25751"/>
    <w:rsid w:val="00D2593A"/>
    <w:rsid w:val="00D25CD0"/>
    <w:rsid w:val="00D25FEE"/>
    <w:rsid w:val="00D2677F"/>
    <w:rsid w:val="00D26C50"/>
    <w:rsid w:val="00D26DEC"/>
    <w:rsid w:val="00D26F7D"/>
    <w:rsid w:val="00D27B4D"/>
    <w:rsid w:val="00D27F5D"/>
    <w:rsid w:val="00D30571"/>
    <w:rsid w:val="00D30630"/>
    <w:rsid w:val="00D30F04"/>
    <w:rsid w:val="00D310FA"/>
    <w:rsid w:val="00D3157D"/>
    <w:rsid w:val="00D315E9"/>
    <w:rsid w:val="00D31BAA"/>
    <w:rsid w:val="00D3219B"/>
    <w:rsid w:val="00D3325B"/>
    <w:rsid w:val="00D34671"/>
    <w:rsid w:val="00D34FE4"/>
    <w:rsid w:val="00D357BD"/>
    <w:rsid w:val="00D35811"/>
    <w:rsid w:val="00D35BAD"/>
    <w:rsid w:val="00D36992"/>
    <w:rsid w:val="00D3703C"/>
    <w:rsid w:val="00D403AD"/>
    <w:rsid w:val="00D4047B"/>
    <w:rsid w:val="00D417BC"/>
    <w:rsid w:val="00D4182C"/>
    <w:rsid w:val="00D41B1C"/>
    <w:rsid w:val="00D42211"/>
    <w:rsid w:val="00D4294F"/>
    <w:rsid w:val="00D42A39"/>
    <w:rsid w:val="00D42F80"/>
    <w:rsid w:val="00D435F6"/>
    <w:rsid w:val="00D43BE2"/>
    <w:rsid w:val="00D43FDD"/>
    <w:rsid w:val="00D44009"/>
    <w:rsid w:val="00D442D0"/>
    <w:rsid w:val="00D444CA"/>
    <w:rsid w:val="00D44C3D"/>
    <w:rsid w:val="00D44EDC"/>
    <w:rsid w:val="00D454A9"/>
    <w:rsid w:val="00D461F6"/>
    <w:rsid w:val="00D462D7"/>
    <w:rsid w:val="00D46859"/>
    <w:rsid w:val="00D4690C"/>
    <w:rsid w:val="00D46917"/>
    <w:rsid w:val="00D46AC7"/>
    <w:rsid w:val="00D47E99"/>
    <w:rsid w:val="00D47EAA"/>
    <w:rsid w:val="00D50AC1"/>
    <w:rsid w:val="00D50D4F"/>
    <w:rsid w:val="00D51CC9"/>
    <w:rsid w:val="00D528F5"/>
    <w:rsid w:val="00D52BC3"/>
    <w:rsid w:val="00D530B2"/>
    <w:rsid w:val="00D534A1"/>
    <w:rsid w:val="00D539D6"/>
    <w:rsid w:val="00D53F39"/>
    <w:rsid w:val="00D54087"/>
    <w:rsid w:val="00D540CB"/>
    <w:rsid w:val="00D543A4"/>
    <w:rsid w:val="00D54769"/>
    <w:rsid w:val="00D54897"/>
    <w:rsid w:val="00D56312"/>
    <w:rsid w:val="00D57A80"/>
    <w:rsid w:val="00D602B0"/>
    <w:rsid w:val="00D60488"/>
    <w:rsid w:val="00D609BF"/>
    <w:rsid w:val="00D60D03"/>
    <w:rsid w:val="00D61778"/>
    <w:rsid w:val="00D61CBF"/>
    <w:rsid w:val="00D620AA"/>
    <w:rsid w:val="00D622D6"/>
    <w:rsid w:val="00D626B1"/>
    <w:rsid w:val="00D633ED"/>
    <w:rsid w:val="00D63759"/>
    <w:rsid w:val="00D642C4"/>
    <w:rsid w:val="00D643FD"/>
    <w:rsid w:val="00D64674"/>
    <w:rsid w:val="00D6483D"/>
    <w:rsid w:val="00D64A34"/>
    <w:rsid w:val="00D65577"/>
    <w:rsid w:val="00D655C2"/>
    <w:rsid w:val="00D656F6"/>
    <w:rsid w:val="00D663D8"/>
    <w:rsid w:val="00D66E5A"/>
    <w:rsid w:val="00D676FD"/>
    <w:rsid w:val="00D70344"/>
    <w:rsid w:val="00D70EED"/>
    <w:rsid w:val="00D70F65"/>
    <w:rsid w:val="00D71291"/>
    <w:rsid w:val="00D72860"/>
    <w:rsid w:val="00D72F42"/>
    <w:rsid w:val="00D731FD"/>
    <w:rsid w:val="00D733B6"/>
    <w:rsid w:val="00D7599B"/>
    <w:rsid w:val="00D75CC8"/>
    <w:rsid w:val="00D773C3"/>
    <w:rsid w:val="00D77E10"/>
    <w:rsid w:val="00D8114B"/>
    <w:rsid w:val="00D81812"/>
    <w:rsid w:val="00D8197C"/>
    <w:rsid w:val="00D819F6"/>
    <w:rsid w:val="00D829A1"/>
    <w:rsid w:val="00D82B74"/>
    <w:rsid w:val="00D84433"/>
    <w:rsid w:val="00D85582"/>
    <w:rsid w:val="00D85EA8"/>
    <w:rsid w:val="00D86117"/>
    <w:rsid w:val="00D8616B"/>
    <w:rsid w:val="00D86406"/>
    <w:rsid w:val="00D86B1F"/>
    <w:rsid w:val="00D86C0C"/>
    <w:rsid w:val="00D86C22"/>
    <w:rsid w:val="00D86F09"/>
    <w:rsid w:val="00D8704D"/>
    <w:rsid w:val="00D874B7"/>
    <w:rsid w:val="00D87A66"/>
    <w:rsid w:val="00D87CAA"/>
    <w:rsid w:val="00D87E4B"/>
    <w:rsid w:val="00D90077"/>
    <w:rsid w:val="00D90701"/>
    <w:rsid w:val="00D90862"/>
    <w:rsid w:val="00D90B9D"/>
    <w:rsid w:val="00D918A5"/>
    <w:rsid w:val="00D91A51"/>
    <w:rsid w:val="00D920AD"/>
    <w:rsid w:val="00D92C68"/>
    <w:rsid w:val="00D92CC2"/>
    <w:rsid w:val="00D9312E"/>
    <w:rsid w:val="00D931EA"/>
    <w:rsid w:val="00D9387E"/>
    <w:rsid w:val="00D93E84"/>
    <w:rsid w:val="00D9416B"/>
    <w:rsid w:val="00D94AC4"/>
    <w:rsid w:val="00D955C3"/>
    <w:rsid w:val="00D9566C"/>
    <w:rsid w:val="00D967FE"/>
    <w:rsid w:val="00D97282"/>
    <w:rsid w:val="00D976D3"/>
    <w:rsid w:val="00D97BDA"/>
    <w:rsid w:val="00DA0B07"/>
    <w:rsid w:val="00DA1050"/>
    <w:rsid w:val="00DA145C"/>
    <w:rsid w:val="00DA1DA3"/>
    <w:rsid w:val="00DA266B"/>
    <w:rsid w:val="00DA2C86"/>
    <w:rsid w:val="00DA34B5"/>
    <w:rsid w:val="00DA37CD"/>
    <w:rsid w:val="00DA41C7"/>
    <w:rsid w:val="00DA4A09"/>
    <w:rsid w:val="00DA4D85"/>
    <w:rsid w:val="00DA6643"/>
    <w:rsid w:val="00DA66CB"/>
    <w:rsid w:val="00DA7136"/>
    <w:rsid w:val="00DB1F0E"/>
    <w:rsid w:val="00DB1F72"/>
    <w:rsid w:val="00DB309E"/>
    <w:rsid w:val="00DB50F9"/>
    <w:rsid w:val="00DB5C94"/>
    <w:rsid w:val="00DB6851"/>
    <w:rsid w:val="00DB6E85"/>
    <w:rsid w:val="00DB70F2"/>
    <w:rsid w:val="00DB7AC5"/>
    <w:rsid w:val="00DB7D3E"/>
    <w:rsid w:val="00DC16CE"/>
    <w:rsid w:val="00DC2866"/>
    <w:rsid w:val="00DC28CC"/>
    <w:rsid w:val="00DC2D53"/>
    <w:rsid w:val="00DC32CF"/>
    <w:rsid w:val="00DC3A4B"/>
    <w:rsid w:val="00DC3BF9"/>
    <w:rsid w:val="00DC4D55"/>
    <w:rsid w:val="00DC5CA2"/>
    <w:rsid w:val="00DC6002"/>
    <w:rsid w:val="00DC6C3A"/>
    <w:rsid w:val="00DC7EF1"/>
    <w:rsid w:val="00DD020E"/>
    <w:rsid w:val="00DD03AA"/>
    <w:rsid w:val="00DD27A0"/>
    <w:rsid w:val="00DD2F00"/>
    <w:rsid w:val="00DD3417"/>
    <w:rsid w:val="00DD456F"/>
    <w:rsid w:val="00DD591F"/>
    <w:rsid w:val="00DD6B64"/>
    <w:rsid w:val="00DD6E3A"/>
    <w:rsid w:val="00DD73FC"/>
    <w:rsid w:val="00DD75AE"/>
    <w:rsid w:val="00DE0250"/>
    <w:rsid w:val="00DE0416"/>
    <w:rsid w:val="00DE07FC"/>
    <w:rsid w:val="00DE0E08"/>
    <w:rsid w:val="00DE1C24"/>
    <w:rsid w:val="00DE21E9"/>
    <w:rsid w:val="00DE25EC"/>
    <w:rsid w:val="00DE2E87"/>
    <w:rsid w:val="00DE3EE5"/>
    <w:rsid w:val="00DE4ACA"/>
    <w:rsid w:val="00DE4B65"/>
    <w:rsid w:val="00DE4FB3"/>
    <w:rsid w:val="00DE4FCA"/>
    <w:rsid w:val="00DE531E"/>
    <w:rsid w:val="00DE5469"/>
    <w:rsid w:val="00DE5672"/>
    <w:rsid w:val="00DE5875"/>
    <w:rsid w:val="00DE647A"/>
    <w:rsid w:val="00DE6532"/>
    <w:rsid w:val="00DE7125"/>
    <w:rsid w:val="00DE74D7"/>
    <w:rsid w:val="00DF02BF"/>
    <w:rsid w:val="00DF03EF"/>
    <w:rsid w:val="00DF09F9"/>
    <w:rsid w:val="00DF16BC"/>
    <w:rsid w:val="00DF2476"/>
    <w:rsid w:val="00DF2BAE"/>
    <w:rsid w:val="00DF3C16"/>
    <w:rsid w:val="00DF3CD6"/>
    <w:rsid w:val="00DF43FD"/>
    <w:rsid w:val="00DF460E"/>
    <w:rsid w:val="00DF4F32"/>
    <w:rsid w:val="00DF50FD"/>
    <w:rsid w:val="00DF526A"/>
    <w:rsid w:val="00DF59C9"/>
    <w:rsid w:val="00DF615D"/>
    <w:rsid w:val="00DF6D8A"/>
    <w:rsid w:val="00DF6DA1"/>
    <w:rsid w:val="00DF710C"/>
    <w:rsid w:val="00E001D5"/>
    <w:rsid w:val="00E003EE"/>
    <w:rsid w:val="00E013C9"/>
    <w:rsid w:val="00E019AB"/>
    <w:rsid w:val="00E01A7A"/>
    <w:rsid w:val="00E03475"/>
    <w:rsid w:val="00E065B8"/>
    <w:rsid w:val="00E06C88"/>
    <w:rsid w:val="00E070BF"/>
    <w:rsid w:val="00E07299"/>
    <w:rsid w:val="00E0783E"/>
    <w:rsid w:val="00E079F3"/>
    <w:rsid w:val="00E106AA"/>
    <w:rsid w:val="00E11050"/>
    <w:rsid w:val="00E12A7F"/>
    <w:rsid w:val="00E12AA0"/>
    <w:rsid w:val="00E12F5D"/>
    <w:rsid w:val="00E13E39"/>
    <w:rsid w:val="00E147B9"/>
    <w:rsid w:val="00E15229"/>
    <w:rsid w:val="00E155D9"/>
    <w:rsid w:val="00E15AE1"/>
    <w:rsid w:val="00E15EC4"/>
    <w:rsid w:val="00E16357"/>
    <w:rsid w:val="00E17557"/>
    <w:rsid w:val="00E176FD"/>
    <w:rsid w:val="00E17779"/>
    <w:rsid w:val="00E20287"/>
    <w:rsid w:val="00E20570"/>
    <w:rsid w:val="00E20B06"/>
    <w:rsid w:val="00E20C63"/>
    <w:rsid w:val="00E20C83"/>
    <w:rsid w:val="00E20EB1"/>
    <w:rsid w:val="00E22926"/>
    <w:rsid w:val="00E23D22"/>
    <w:rsid w:val="00E23EE9"/>
    <w:rsid w:val="00E242AA"/>
    <w:rsid w:val="00E24402"/>
    <w:rsid w:val="00E244B4"/>
    <w:rsid w:val="00E244B8"/>
    <w:rsid w:val="00E24826"/>
    <w:rsid w:val="00E24BCE"/>
    <w:rsid w:val="00E24DC6"/>
    <w:rsid w:val="00E24E7E"/>
    <w:rsid w:val="00E25257"/>
    <w:rsid w:val="00E25703"/>
    <w:rsid w:val="00E25790"/>
    <w:rsid w:val="00E266D1"/>
    <w:rsid w:val="00E26C84"/>
    <w:rsid w:val="00E26F81"/>
    <w:rsid w:val="00E27002"/>
    <w:rsid w:val="00E274DC"/>
    <w:rsid w:val="00E3064F"/>
    <w:rsid w:val="00E313B7"/>
    <w:rsid w:val="00E31971"/>
    <w:rsid w:val="00E3199C"/>
    <w:rsid w:val="00E325EA"/>
    <w:rsid w:val="00E32EAB"/>
    <w:rsid w:val="00E33047"/>
    <w:rsid w:val="00E3375B"/>
    <w:rsid w:val="00E339A8"/>
    <w:rsid w:val="00E33DFA"/>
    <w:rsid w:val="00E33F41"/>
    <w:rsid w:val="00E346DE"/>
    <w:rsid w:val="00E349A0"/>
    <w:rsid w:val="00E34E3E"/>
    <w:rsid w:val="00E35ABA"/>
    <w:rsid w:val="00E372CD"/>
    <w:rsid w:val="00E37378"/>
    <w:rsid w:val="00E37C30"/>
    <w:rsid w:val="00E401BC"/>
    <w:rsid w:val="00E40B2C"/>
    <w:rsid w:val="00E40D0F"/>
    <w:rsid w:val="00E40E63"/>
    <w:rsid w:val="00E40FEA"/>
    <w:rsid w:val="00E42CB3"/>
    <w:rsid w:val="00E42D0A"/>
    <w:rsid w:val="00E4322D"/>
    <w:rsid w:val="00E4347D"/>
    <w:rsid w:val="00E4561C"/>
    <w:rsid w:val="00E4579C"/>
    <w:rsid w:val="00E4595E"/>
    <w:rsid w:val="00E4611C"/>
    <w:rsid w:val="00E46F3B"/>
    <w:rsid w:val="00E47D45"/>
    <w:rsid w:val="00E51D18"/>
    <w:rsid w:val="00E5236D"/>
    <w:rsid w:val="00E52F8A"/>
    <w:rsid w:val="00E52FE7"/>
    <w:rsid w:val="00E534FC"/>
    <w:rsid w:val="00E53D43"/>
    <w:rsid w:val="00E53ED9"/>
    <w:rsid w:val="00E541DE"/>
    <w:rsid w:val="00E54438"/>
    <w:rsid w:val="00E54880"/>
    <w:rsid w:val="00E54F0C"/>
    <w:rsid w:val="00E55D3B"/>
    <w:rsid w:val="00E569B7"/>
    <w:rsid w:val="00E5790C"/>
    <w:rsid w:val="00E629DF"/>
    <w:rsid w:val="00E63729"/>
    <w:rsid w:val="00E63804"/>
    <w:rsid w:val="00E65377"/>
    <w:rsid w:val="00E6594E"/>
    <w:rsid w:val="00E66478"/>
    <w:rsid w:val="00E66648"/>
    <w:rsid w:val="00E667C0"/>
    <w:rsid w:val="00E7027C"/>
    <w:rsid w:val="00E70630"/>
    <w:rsid w:val="00E7212C"/>
    <w:rsid w:val="00E74B9C"/>
    <w:rsid w:val="00E74C70"/>
    <w:rsid w:val="00E74FFE"/>
    <w:rsid w:val="00E752D1"/>
    <w:rsid w:val="00E75611"/>
    <w:rsid w:val="00E764E7"/>
    <w:rsid w:val="00E76BF8"/>
    <w:rsid w:val="00E778DF"/>
    <w:rsid w:val="00E77A70"/>
    <w:rsid w:val="00E80AFF"/>
    <w:rsid w:val="00E80FF7"/>
    <w:rsid w:val="00E81520"/>
    <w:rsid w:val="00E8178C"/>
    <w:rsid w:val="00E82FAE"/>
    <w:rsid w:val="00E84F32"/>
    <w:rsid w:val="00E85890"/>
    <w:rsid w:val="00E8675D"/>
    <w:rsid w:val="00E874C1"/>
    <w:rsid w:val="00E8799B"/>
    <w:rsid w:val="00E87EBB"/>
    <w:rsid w:val="00E90183"/>
    <w:rsid w:val="00E90732"/>
    <w:rsid w:val="00E91163"/>
    <w:rsid w:val="00E91DB9"/>
    <w:rsid w:val="00E92116"/>
    <w:rsid w:val="00E9283E"/>
    <w:rsid w:val="00E928C9"/>
    <w:rsid w:val="00E92A09"/>
    <w:rsid w:val="00E92B62"/>
    <w:rsid w:val="00E92B72"/>
    <w:rsid w:val="00E92E41"/>
    <w:rsid w:val="00E931A4"/>
    <w:rsid w:val="00E942AF"/>
    <w:rsid w:val="00E943EE"/>
    <w:rsid w:val="00E94D76"/>
    <w:rsid w:val="00E95447"/>
    <w:rsid w:val="00E9633F"/>
    <w:rsid w:val="00E966B2"/>
    <w:rsid w:val="00E96B50"/>
    <w:rsid w:val="00EA0DFF"/>
    <w:rsid w:val="00EA12BA"/>
    <w:rsid w:val="00EA1513"/>
    <w:rsid w:val="00EA15D0"/>
    <w:rsid w:val="00EA1CC1"/>
    <w:rsid w:val="00EA2730"/>
    <w:rsid w:val="00EA3D33"/>
    <w:rsid w:val="00EA3F7A"/>
    <w:rsid w:val="00EA40CD"/>
    <w:rsid w:val="00EA49C1"/>
    <w:rsid w:val="00EA4FF5"/>
    <w:rsid w:val="00EA572A"/>
    <w:rsid w:val="00EA5AA3"/>
    <w:rsid w:val="00EA5D4F"/>
    <w:rsid w:val="00EA65F0"/>
    <w:rsid w:val="00EA71B9"/>
    <w:rsid w:val="00EA742F"/>
    <w:rsid w:val="00EA7644"/>
    <w:rsid w:val="00EA7937"/>
    <w:rsid w:val="00EB0376"/>
    <w:rsid w:val="00EB03B1"/>
    <w:rsid w:val="00EB19E9"/>
    <w:rsid w:val="00EB1CC9"/>
    <w:rsid w:val="00EB3191"/>
    <w:rsid w:val="00EB4127"/>
    <w:rsid w:val="00EB5A5B"/>
    <w:rsid w:val="00EB5E57"/>
    <w:rsid w:val="00EB5F53"/>
    <w:rsid w:val="00EB66B5"/>
    <w:rsid w:val="00EB7562"/>
    <w:rsid w:val="00EC01F4"/>
    <w:rsid w:val="00EC0687"/>
    <w:rsid w:val="00EC12CA"/>
    <w:rsid w:val="00EC1451"/>
    <w:rsid w:val="00EC1575"/>
    <w:rsid w:val="00EC19DE"/>
    <w:rsid w:val="00EC19F3"/>
    <w:rsid w:val="00EC23A8"/>
    <w:rsid w:val="00EC2CA6"/>
    <w:rsid w:val="00EC2D27"/>
    <w:rsid w:val="00EC3C69"/>
    <w:rsid w:val="00EC4C12"/>
    <w:rsid w:val="00EC570E"/>
    <w:rsid w:val="00EC5FAE"/>
    <w:rsid w:val="00EC622C"/>
    <w:rsid w:val="00EC6425"/>
    <w:rsid w:val="00EC6626"/>
    <w:rsid w:val="00EC7374"/>
    <w:rsid w:val="00EC73BE"/>
    <w:rsid w:val="00EC747A"/>
    <w:rsid w:val="00ED0AED"/>
    <w:rsid w:val="00ED0CB8"/>
    <w:rsid w:val="00ED0E8C"/>
    <w:rsid w:val="00ED10C0"/>
    <w:rsid w:val="00ED18A5"/>
    <w:rsid w:val="00ED1CA5"/>
    <w:rsid w:val="00ED1D07"/>
    <w:rsid w:val="00ED2021"/>
    <w:rsid w:val="00ED235B"/>
    <w:rsid w:val="00ED3E3D"/>
    <w:rsid w:val="00ED4339"/>
    <w:rsid w:val="00ED4534"/>
    <w:rsid w:val="00ED4BF7"/>
    <w:rsid w:val="00ED51ED"/>
    <w:rsid w:val="00ED6224"/>
    <w:rsid w:val="00ED6EEF"/>
    <w:rsid w:val="00ED7150"/>
    <w:rsid w:val="00ED79DA"/>
    <w:rsid w:val="00ED7BAC"/>
    <w:rsid w:val="00EE0020"/>
    <w:rsid w:val="00EE00D8"/>
    <w:rsid w:val="00EE145B"/>
    <w:rsid w:val="00EE1840"/>
    <w:rsid w:val="00EE20BB"/>
    <w:rsid w:val="00EE29A6"/>
    <w:rsid w:val="00EE5B09"/>
    <w:rsid w:val="00EE646E"/>
    <w:rsid w:val="00EE6E48"/>
    <w:rsid w:val="00EE74F1"/>
    <w:rsid w:val="00EF0173"/>
    <w:rsid w:val="00EF02E3"/>
    <w:rsid w:val="00EF0732"/>
    <w:rsid w:val="00EF1351"/>
    <w:rsid w:val="00EF15EB"/>
    <w:rsid w:val="00EF1A6C"/>
    <w:rsid w:val="00EF1B16"/>
    <w:rsid w:val="00EF1EF8"/>
    <w:rsid w:val="00EF2589"/>
    <w:rsid w:val="00EF3242"/>
    <w:rsid w:val="00EF51AF"/>
    <w:rsid w:val="00EF67EB"/>
    <w:rsid w:val="00EF6938"/>
    <w:rsid w:val="00EF70DF"/>
    <w:rsid w:val="00F00415"/>
    <w:rsid w:val="00F00CF8"/>
    <w:rsid w:val="00F00EE4"/>
    <w:rsid w:val="00F0166F"/>
    <w:rsid w:val="00F016C1"/>
    <w:rsid w:val="00F01A5A"/>
    <w:rsid w:val="00F01D2D"/>
    <w:rsid w:val="00F01DD0"/>
    <w:rsid w:val="00F026A6"/>
    <w:rsid w:val="00F02C3C"/>
    <w:rsid w:val="00F02F04"/>
    <w:rsid w:val="00F04155"/>
    <w:rsid w:val="00F04416"/>
    <w:rsid w:val="00F0478A"/>
    <w:rsid w:val="00F05106"/>
    <w:rsid w:val="00F05D80"/>
    <w:rsid w:val="00F07EA1"/>
    <w:rsid w:val="00F11059"/>
    <w:rsid w:val="00F111F9"/>
    <w:rsid w:val="00F11684"/>
    <w:rsid w:val="00F116A7"/>
    <w:rsid w:val="00F1172D"/>
    <w:rsid w:val="00F11B0D"/>
    <w:rsid w:val="00F1233A"/>
    <w:rsid w:val="00F12FF5"/>
    <w:rsid w:val="00F1375E"/>
    <w:rsid w:val="00F14684"/>
    <w:rsid w:val="00F14812"/>
    <w:rsid w:val="00F15326"/>
    <w:rsid w:val="00F161B3"/>
    <w:rsid w:val="00F17034"/>
    <w:rsid w:val="00F171E4"/>
    <w:rsid w:val="00F20065"/>
    <w:rsid w:val="00F20C5C"/>
    <w:rsid w:val="00F21C5C"/>
    <w:rsid w:val="00F221AB"/>
    <w:rsid w:val="00F225E3"/>
    <w:rsid w:val="00F22D90"/>
    <w:rsid w:val="00F233C7"/>
    <w:rsid w:val="00F2399C"/>
    <w:rsid w:val="00F243B9"/>
    <w:rsid w:val="00F24E15"/>
    <w:rsid w:val="00F251D4"/>
    <w:rsid w:val="00F253C4"/>
    <w:rsid w:val="00F25536"/>
    <w:rsid w:val="00F25F6A"/>
    <w:rsid w:val="00F279F4"/>
    <w:rsid w:val="00F27B5C"/>
    <w:rsid w:val="00F27CC9"/>
    <w:rsid w:val="00F3052C"/>
    <w:rsid w:val="00F30835"/>
    <w:rsid w:val="00F31E84"/>
    <w:rsid w:val="00F31F19"/>
    <w:rsid w:val="00F32523"/>
    <w:rsid w:val="00F32CA6"/>
    <w:rsid w:val="00F338DB"/>
    <w:rsid w:val="00F340F5"/>
    <w:rsid w:val="00F34545"/>
    <w:rsid w:val="00F36BD3"/>
    <w:rsid w:val="00F37B4F"/>
    <w:rsid w:val="00F41193"/>
    <w:rsid w:val="00F417C5"/>
    <w:rsid w:val="00F41938"/>
    <w:rsid w:val="00F41E67"/>
    <w:rsid w:val="00F42F0A"/>
    <w:rsid w:val="00F4420D"/>
    <w:rsid w:val="00F448F2"/>
    <w:rsid w:val="00F44E8B"/>
    <w:rsid w:val="00F45C6C"/>
    <w:rsid w:val="00F47475"/>
    <w:rsid w:val="00F50622"/>
    <w:rsid w:val="00F50645"/>
    <w:rsid w:val="00F507DE"/>
    <w:rsid w:val="00F5142B"/>
    <w:rsid w:val="00F52DC8"/>
    <w:rsid w:val="00F53ED8"/>
    <w:rsid w:val="00F54110"/>
    <w:rsid w:val="00F54E64"/>
    <w:rsid w:val="00F54E7E"/>
    <w:rsid w:val="00F551BE"/>
    <w:rsid w:val="00F5520F"/>
    <w:rsid w:val="00F55311"/>
    <w:rsid w:val="00F55806"/>
    <w:rsid w:val="00F5773B"/>
    <w:rsid w:val="00F57991"/>
    <w:rsid w:val="00F57EF0"/>
    <w:rsid w:val="00F600CF"/>
    <w:rsid w:val="00F60505"/>
    <w:rsid w:val="00F60B08"/>
    <w:rsid w:val="00F60EA6"/>
    <w:rsid w:val="00F619FB"/>
    <w:rsid w:val="00F61B8D"/>
    <w:rsid w:val="00F61D82"/>
    <w:rsid w:val="00F62441"/>
    <w:rsid w:val="00F629F3"/>
    <w:rsid w:val="00F632FB"/>
    <w:rsid w:val="00F636FC"/>
    <w:rsid w:val="00F63BF4"/>
    <w:rsid w:val="00F63DF7"/>
    <w:rsid w:val="00F642AF"/>
    <w:rsid w:val="00F6517E"/>
    <w:rsid w:val="00F65944"/>
    <w:rsid w:val="00F67DD0"/>
    <w:rsid w:val="00F67ED7"/>
    <w:rsid w:val="00F708C1"/>
    <w:rsid w:val="00F71715"/>
    <w:rsid w:val="00F71998"/>
    <w:rsid w:val="00F71A73"/>
    <w:rsid w:val="00F7453D"/>
    <w:rsid w:val="00F74599"/>
    <w:rsid w:val="00F746EF"/>
    <w:rsid w:val="00F74CDA"/>
    <w:rsid w:val="00F74D38"/>
    <w:rsid w:val="00F75262"/>
    <w:rsid w:val="00F7547E"/>
    <w:rsid w:val="00F77951"/>
    <w:rsid w:val="00F77AF0"/>
    <w:rsid w:val="00F77C2F"/>
    <w:rsid w:val="00F805D3"/>
    <w:rsid w:val="00F8083B"/>
    <w:rsid w:val="00F80B2B"/>
    <w:rsid w:val="00F815D5"/>
    <w:rsid w:val="00F817C2"/>
    <w:rsid w:val="00F81D46"/>
    <w:rsid w:val="00F82ACE"/>
    <w:rsid w:val="00F830B1"/>
    <w:rsid w:val="00F83A14"/>
    <w:rsid w:val="00F83E8B"/>
    <w:rsid w:val="00F83F10"/>
    <w:rsid w:val="00F85547"/>
    <w:rsid w:val="00F85A7E"/>
    <w:rsid w:val="00F85D8A"/>
    <w:rsid w:val="00F866E8"/>
    <w:rsid w:val="00F90379"/>
    <w:rsid w:val="00F90DFA"/>
    <w:rsid w:val="00F91A02"/>
    <w:rsid w:val="00F91B10"/>
    <w:rsid w:val="00F92D26"/>
    <w:rsid w:val="00F932B9"/>
    <w:rsid w:val="00F93E6E"/>
    <w:rsid w:val="00F947B0"/>
    <w:rsid w:val="00F94FB3"/>
    <w:rsid w:val="00F95123"/>
    <w:rsid w:val="00F955A7"/>
    <w:rsid w:val="00F95933"/>
    <w:rsid w:val="00F9632C"/>
    <w:rsid w:val="00F967A8"/>
    <w:rsid w:val="00FA01CF"/>
    <w:rsid w:val="00FA0E33"/>
    <w:rsid w:val="00FA1078"/>
    <w:rsid w:val="00FA12DB"/>
    <w:rsid w:val="00FA145D"/>
    <w:rsid w:val="00FA19A8"/>
    <w:rsid w:val="00FA25EB"/>
    <w:rsid w:val="00FA26E0"/>
    <w:rsid w:val="00FA35AC"/>
    <w:rsid w:val="00FA4335"/>
    <w:rsid w:val="00FA5ADF"/>
    <w:rsid w:val="00FA5CBA"/>
    <w:rsid w:val="00FA611A"/>
    <w:rsid w:val="00FA651B"/>
    <w:rsid w:val="00FB00B3"/>
    <w:rsid w:val="00FB014F"/>
    <w:rsid w:val="00FB13C1"/>
    <w:rsid w:val="00FB19C8"/>
    <w:rsid w:val="00FB2556"/>
    <w:rsid w:val="00FB25BA"/>
    <w:rsid w:val="00FB314A"/>
    <w:rsid w:val="00FB35FD"/>
    <w:rsid w:val="00FB39FD"/>
    <w:rsid w:val="00FB3B5C"/>
    <w:rsid w:val="00FB41BA"/>
    <w:rsid w:val="00FB4A2E"/>
    <w:rsid w:val="00FB5074"/>
    <w:rsid w:val="00FB50CD"/>
    <w:rsid w:val="00FB5EFA"/>
    <w:rsid w:val="00FB63FC"/>
    <w:rsid w:val="00FB77EC"/>
    <w:rsid w:val="00FB7D1B"/>
    <w:rsid w:val="00FC02B4"/>
    <w:rsid w:val="00FC17CF"/>
    <w:rsid w:val="00FC1862"/>
    <w:rsid w:val="00FC1A87"/>
    <w:rsid w:val="00FC2036"/>
    <w:rsid w:val="00FC2226"/>
    <w:rsid w:val="00FC258A"/>
    <w:rsid w:val="00FC311D"/>
    <w:rsid w:val="00FC35E6"/>
    <w:rsid w:val="00FC372D"/>
    <w:rsid w:val="00FC3867"/>
    <w:rsid w:val="00FC4000"/>
    <w:rsid w:val="00FC4030"/>
    <w:rsid w:val="00FC43DB"/>
    <w:rsid w:val="00FC4ACE"/>
    <w:rsid w:val="00FC53B3"/>
    <w:rsid w:val="00FC5FED"/>
    <w:rsid w:val="00FC6716"/>
    <w:rsid w:val="00FC693B"/>
    <w:rsid w:val="00FC73F4"/>
    <w:rsid w:val="00FC7461"/>
    <w:rsid w:val="00FC7AD2"/>
    <w:rsid w:val="00FD0B97"/>
    <w:rsid w:val="00FD12B1"/>
    <w:rsid w:val="00FD17B7"/>
    <w:rsid w:val="00FD2365"/>
    <w:rsid w:val="00FD2989"/>
    <w:rsid w:val="00FD3437"/>
    <w:rsid w:val="00FD3836"/>
    <w:rsid w:val="00FD3906"/>
    <w:rsid w:val="00FD3B03"/>
    <w:rsid w:val="00FD3D25"/>
    <w:rsid w:val="00FD3D6E"/>
    <w:rsid w:val="00FD40BE"/>
    <w:rsid w:val="00FD429E"/>
    <w:rsid w:val="00FD4363"/>
    <w:rsid w:val="00FD46B2"/>
    <w:rsid w:val="00FD46FB"/>
    <w:rsid w:val="00FD496B"/>
    <w:rsid w:val="00FD5989"/>
    <w:rsid w:val="00FD60F6"/>
    <w:rsid w:val="00FD7FEB"/>
    <w:rsid w:val="00FE08DE"/>
    <w:rsid w:val="00FE0AC9"/>
    <w:rsid w:val="00FE114A"/>
    <w:rsid w:val="00FE1A66"/>
    <w:rsid w:val="00FE24C6"/>
    <w:rsid w:val="00FE2A17"/>
    <w:rsid w:val="00FE2FE6"/>
    <w:rsid w:val="00FE53F8"/>
    <w:rsid w:val="00FE5E46"/>
    <w:rsid w:val="00FE5F49"/>
    <w:rsid w:val="00FF0476"/>
    <w:rsid w:val="00FF0899"/>
    <w:rsid w:val="00FF09A9"/>
    <w:rsid w:val="00FF153E"/>
    <w:rsid w:val="00FF1765"/>
    <w:rsid w:val="00FF205E"/>
    <w:rsid w:val="00FF2315"/>
    <w:rsid w:val="00FF2A94"/>
    <w:rsid w:val="00FF30EC"/>
    <w:rsid w:val="00FF3360"/>
    <w:rsid w:val="00FF35A1"/>
    <w:rsid w:val="00FF37B5"/>
    <w:rsid w:val="00FF5FA4"/>
    <w:rsid w:val="00FF6141"/>
    <w:rsid w:val="00FF6184"/>
    <w:rsid w:val="00FF6B58"/>
    <w:rsid w:val="00FF7458"/>
    <w:rsid w:val="6BB65FB6"/>
  </w:rsids>
  <m:mathPr>
    <m:mathFont m:val="Cambria Math"/>
  </m:mathPr>
  <w:themeFontLang w:val="en-GB" w:eastAsia="zh-TW" w:bidi="ar-SA"/>
  <w:clrSchemeMapping w:bg1="light1" w:t1="dark1" w:bg2="light2" w:t2="dark2" w:accent1="accent1" w:accent2="accent2" w:accent3="accent3" w:accent4="accent4" w:accent5="accent5" w:accent6="accent6" w:hyperlink="hyperlink" w:followedHyperlink="followedHyperlink"/>
  <w15:docId w15:val="{9A88EB9C-922B-46AC-BF2D-97572BDE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6">
    <w:lsdException w:name="Normal" w:uiPriority="19"/>
    <w:lsdException w:name="heading 1" w:uiPriority="19" w:qFormat="1"/>
    <w:lsdException w:name="heading 2" w:semiHidden="1" w:uiPriority="19" w:qFormat="1"/>
    <w:lsdException w:name="heading 3" w:semiHidden="1" w:uiPriority="19" w:qFormat="1"/>
    <w:lsdException w:name="heading 4" w:semiHidden="1" w:uiPriority="19" w:qFormat="1"/>
    <w:lsdException w:name="heading 5" w:semiHidden="1" w:uiPriority="19" w:qFormat="1"/>
    <w:lsdException w:name="heading 6" w:semiHidden="1" w:uiPriority="1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uiPriority="10"/>
    <w:lsdException w:name="index 4" w:semiHidden="1" w:uiPriority="10" w:unhideWhenUsed="1"/>
    <w:lsdException w:name="index 5" w:semiHidden="1" w:uiPriority="10" w:unhideWhenUsed="1"/>
    <w:lsdException w:name="index 6" w:semiHidden="1" w:uiPriority="10" w:unhideWhenUsed="1"/>
    <w:lsdException w:name="index 7" w:semiHidden="1" w:uiPriority="10" w:unhideWhenUsed="1"/>
    <w:lsdException w:name="index 8" w:semiHidden="1" w:uiPriority="10" w:unhideWhenUsed="1"/>
    <w:lsdException w:name="index 9" w:semiHidden="1" w:uiPriority="10" w:unhideWhenUsed="1"/>
    <w:lsdException w:name="toc 1" w:semiHidden="1" w:uiPriority="39"/>
    <w:lsdException w:name="toc 2" w:semiHidden="1" w:uiPriority="39"/>
    <w:lsdException w:name="toc 3" w:semiHidden="1" w:uiPriority="39"/>
    <w:lsdException w:name="toc 4" w:semiHidden="1"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uiPriority="9"/>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5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rsid w:val="00337688"/>
    <w:pPr>
      <w:jc w:val="both"/>
    </w:pPr>
    <w:rPr>
      <w:rFonts w:eastAsiaTheme="minorHAnsi" w:cstheme="minorBidi"/>
      <w:lang w:eastAsia="en-US"/>
    </w:rPr>
  </w:style>
  <w:style w:type="paragraph" w:styleId="Heading1">
    <w:name w:val="heading 1"/>
    <w:basedOn w:val="Normal"/>
    <w:next w:val="ssPara1"/>
    <w:link w:val="Heading1Char"/>
    <w:uiPriority w:val="19"/>
    <w:qFormat/>
    <w:rsid w:val="00A324BE"/>
    <w:pPr>
      <w:keepNext/>
      <w:keepLines/>
      <w:numPr>
        <w:ilvl w:val="1"/>
        <w:numId w:val="51"/>
      </w:numPr>
      <w:spacing w:after="260"/>
      <w:outlineLvl w:val="0"/>
    </w:pPr>
    <w:rPr>
      <w:rFonts w:eastAsia="MingLiU" w:cs="Times New Roman"/>
      <w:b/>
      <w:bCs/>
      <w:kern w:val="32"/>
      <w:szCs w:val="28"/>
      <w:u w:val="single"/>
      <w:lang w:eastAsia="en-GB"/>
    </w:rPr>
  </w:style>
  <w:style w:type="paragraph" w:styleId="Heading2">
    <w:name w:val="heading 2"/>
    <w:aliases w:val="HR2"/>
    <w:basedOn w:val="Normal"/>
    <w:next w:val="ssPara2"/>
    <w:link w:val="Heading2Char"/>
    <w:uiPriority w:val="19"/>
    <w:qFormat/>
    <w:rsid w:val="00A324BE"/>
    <w:pPr>
      <w:keepNext/>
      <w:keepLines/>
      <w:numPr>
        <w:ilvl w:val="2"/>
        <w:numId w:val="51"/>
      </w:numPr>
      <w:spacing w:after="260"/>
      <w:outlineLvl w:val="1"/>
    </w:pPr>
    <w:rPr>
      <w:rFonts w:eastAsia="MingLiU" w:cs="Times New Roman"/>
      <w:b/>
      <w:bCs/>
      <w:szCs w:val="26"/>
      <w:lang w:eastAsia="en-GB"/>
    </w:rPr>
  </w:style>
  <w:style w:type="paragraph" w:styleId="Heading3">
    <w:name w:val="heading 3"/>
    <w:basedOn w:val="Normal"/>
    <w:next w:val="ssPara3"/>
    <w:link w:val="Heading3Char"/>
    <w:uiPriority w:val="19"/>
    <w:qFormat/>
    <w:rsid w:val="00A324BE"/>
    <w:pPr>
      <w:keepNext/>
      <w:keepLines/>
      <w:numPr>
        <w:ilvl w:val="3"/>
        <w:numId w:val="51"/>
      </w:numPr>
      <w:spacing w:after="260"/>
      <w:outlineLvl w:val="2"/>
    </w:pPr>
    <w:rPr>
      <w:rFonts w:eastAsia="MingLiU" w:cs="Times New Roman"/>
      <w:b/>
      <w:bCs/>
      <w:lang w:eastAsia="en-GB"/>
    </w:rPr>
  </w:style>
  <w:style w:type="paragraph" w:styleId="Heading4">
    <w:name w:val="heading 4"/>
    <w:basedOn w:val="Normal"/>
    <w:next w:val="ssPara4"/>
    <w:link w:val="Heading4Char"/>
    <w:uiPriority w:val="19"/>
    <w:qFormat/>
    <w:rsid w:val="00A324BE"/>
    <w:pPr>
      <w:keepNext/>
      <w:keepLines/>
      <w:numPr>
        <w:ilvl w:val="4"/>
        <w:numId w:val="51"/>
      </w:numPr>
      <w:spacing w:after="260"/>
      <w:outlineLvl w:val="3"/>
    </w:pPr>
    <w:rPr>
      <w:rFonts w:eastAsia="MingLiU" w:cs="Times New Roman"/>
      <w:b/>
      <w:bCs/>
      <w:iCs/>
      <w:lang w:eastAsia="en-GB"/>
    </w:rPr>
  </w:style>
  <w:style w:type="paragraph" w:styleId="Heading5">
    <w:name w:val="heading 5"/>
    <w:basedOn w:val="Normal"/>
    <w:next w:val="ssPara5"/>
    <w:link w:val="Heading5Char"/>
    <w:uiPriority w:val="19"/>
    <w:qFormat/>
    <w:rsid w:val="00A324BE"/>
    <w:pPr>
      <w:keepNext/>
      <w:keepLines/>
      <w:numPr>
        <w:ilvl w:val="5"/>
        <w:numId w:val="51"/>
      </w:numPr>
      <w:spacing w:after="260"/>
      <w:outlineLvl w:val="4"/>
    </w:pPr>
    <w:rPr>
      <w:rFonts w:eastAsia="MingLiU" w:cs="Times New Roman"/>
      <w:b/>
      <w:lang w:eastAsia="en-GB"/>
    </w:rPr>
  </w:style>
  <w:style w:type="paragraph" w:styleId="Heading6">
    <w:name w:val="heading 6"/>
    <w:basedOn w:val="Normal"/>
    <w:next w:val="ssPara6"/>
    <w:link w:val="Heading6Char"/>
    <w:uiPriority w:val="19"/>
    <w:qFormat/>
    <w:rsid w:val="00A324BE"/>
    <w:pPr>
      <w:keepNext/>
      <w:keepLines/>
      <w:numPr>
        <w:ilvl w:val="6"/>
        <w:numId w:val="51"/>
      </w:numPr>
      <w:spacing w:after="260"/>
      <w:outlineLvl w:val="5"/>
    </w:pPr>
    <w:rPr>
      <w:rFonts w:eastAsia="MingLiU" w:cs="Times New Roman"/>
      <w:b/>
      <w:iCs/>
      <w:lang w:eastAsia="en-GB"/>
    </w:rPr>
  </w:style>
  <w:style w:type="paragraph" w:styleId="Heading7">
    <w:name w:val="heading 7"/>
    <w:basedOn w:val="Normal"/>
    <w:next w:val="Normal"/>
    <w:link w:val="Heading7Char"/>
    <w:uiPriority w:val="9"/>
    <w:semiHidden/>
    <w:qFormat/>
    <w:rsid w:val="00A324BE"/>
    <w:pPr>
      <w:numPr>
        <w:ilvl w:val="7"/>
        <w:numId w:val="52"/>
      </w:numPr>
      <w:outlineLvl w:val="6"/>
    </w:pPr>
    <w:rPr>
      <w:rFonts w:eastAsia="MingLiU" w:asciiTheme="minorHAnsi" w:hAnsiTheme="minorHAnsi" w:cs="Times New Roman"/>
      <w:szCs w:val="24"/>
      <w:lang w:eastAsia="en-GB"/>
    </w:rPr>
  </w:style>
  <w:style w:type="paragraph" w:styleId="Heading8">
    <w:name w:val="heading 8"/>
    <w:basedOn w:val="Normal"/>
    <w:next w:val="Normal"/>
    <w:link w:val="Heading8Char"/>
    <w:uiPriority w:val="9"/>
    <w:semiHidden/>
    <w:qFormat/>
    <w:rsid w:val="00A324BE"/>
    <w:pPr>
      <w:numPr>
        <w:ilvl w:val="8"/>
        <w:numId w:val="52"/>
      </w:numPr>
      <w:outlineLvl w:val="7"/>
    </w:pPr>
    <w:rPr>
      <w:rFonts w:eastAsia="MingLiU" w:asciiTheme="minorHAnsi" w:hAnsiTheme="minorHAnsi" w:cs="Times New Roman"/>
      <w:iCs/>
      <w:szCs w:val="24"/>
      <w:lang w:eastAsia="en-GB"/>
    </w:rPr>
  </w:style>
  <w:style w:type="paragraph" w:styleId="Heading9">
    <w:name w:val="heading 9"/>
    <w:basedOn w:val="Normal"/>
    <w:next w:val="Normal"/>
    <w:link w:val="Heading9Char"/>
    <w:uiPriority w:val="9"/>
    <w:semiHidden/>
    <w:qFormat/>
    <w:rsid w:val="00A324BE"/>
    <w:pPr>
      <w:outlineLvl w:val="8"/>
    </w:pPr>
    <w:rPr>
      <w:rFonts w:eastAsia="MingLiU" w:asciiTheme="minorHAnsi" w:hAnsiTheme="minorHAnsi"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4BE"/>
    <w:rPr>
      <w:rFonts w:eastAsia="MingLiU"/>
      <w:b/>
      <w:bCs/>
      <w:kern w:val="32"/>
      <w:szCs w:val="28"/>
      <w:u w:val="single"/>
    </w:rPr>
  </w:style>
  <w:style w:type="character" w:customStyle="1" w:styleId="Heading2Char">
    <w:name w:val="Heading 2 Char"/>
    <w:aliases w:val="HR2 Char"/>
    <w:link w:val="Heading2"/>
    <w:uiPriority w:val="9"/>
    <w:rsid w:val="00A324BE"/>
    <w:rPr>
      <w:rFonts w:eastAsia="MingLiU"/>
      <w:b/>
      <w:bCs/>
      <w:szCs w:val="26"/>
    </w:rPr>
  </w:style>
  <w:style w:type="character" w:customStyle="1" w:styleId="Heading3Char">
    <w:name w:val="Heading 3 Char"/>
    <w:link w:val="Heading3"/>
    <w:uiPriority w:val="9"/>
    <w:rsid w:val="00A324BE"/>
    <w:rPr>
      <w:rFonts w:eastAsia="MingLiU"/>
      <w:b/>
      <w:bCs/>
    </w:rPr>
  </w:style>
  <w:style w:type="paragraph" w:customStyle="1" w:styleId="ssqAppendix">
    <w:name w:val="ssqAppendix"/>
    <w:basedOn w:val="ssPara1"/>
    <w:next w:val="ssPara1"/>
    <w:uiPriority w:val="39"/>
    <w:qFormat/>
    <w:rsid w:val="00A324BE"/>
    <w:pPr>
      <w:pageBreakBefore/>
      <w:numPr>
        <w:numId w:val="47"/>
      </w:numPr>
      <w:jc w:val="center"/>
    </w:pPr>
    <w:rPr>
      <w:rFonts w:eastAsia="MingLiU"/>
      <w:b/>
      <w:caps/>
    </w:rPr>
  </w:style>
  <w:style w:type="paragraph" w:customStyle="1" w:styleId="Definitions">
    <w:name w:val="Definitions"/>
    <w:basedOn w:val="Normal"/>
    <w:uiPriority w:val="1"/>
    <w:rsid w:val="00A324BE"/>
    <w:pPr>
      <w:numPr>
        <w:numId w:val="42"/>
      </w:numPr>
      <w:spacing w:after="260"/>
    </w:pPr>
  </w:style>
  <w:style w:type="paragraph" w:customStyle="1" w:styleId="Definitions1">
    <w:name w:val="Definitions 1"/>
    <w:basedOn w:val="Normal"/>
    <w:uiPriority w:val="1"/>
    <w:rsid w:val="00A324BE"/>
    <w:pPr>
      <w:numPr>
        <w:ilvl w:val="1"/>
        <w:numId w:val="42"/>
      </w:numPr>
      <w:spacing w:after="260"/>
      <w:outlineLvl w:val="1"/>
    </w:pPr>
  </w:style>
  <w:style w:type="paragraph" w:customStyle="1" w:styleId="Definitions2">
    <w:name w:val="Definitions 2"/>
    <w:basedOn w:val="Normal"/>
    <w:uiPriority w:val="1"/>
    <w:rsid w:val="00A324BE"/>
    <w:pPr>
      <w:numPr>
        <w:ilvl w:val="2"/>
        <w:numId w:val="42"/>
      </w:numPr>
      <w:spacing w:after="260"/>
      <w:outlineLvl w:val="2"/>
    </w:pPr>
  </w:style>
  <w:style w:type="paragraph" w:customStyle="1" w:styleId="ssqExhibit">
    <w:name w:val="ssqExhibit"/>
    <w:basedOn w:val="ssPara1"/>
    <w:next w:val="ssPara1"/>
    <w:uiPriority w:val="41"/>
    <w:qFormat/>
    <w:rsid w:val="00A324BE"/>
    <w:pPr>
      <w:pageBreakBefore/>
      <w:numPr>
        <w:numId w:val="48"/>
      </w:numPr>
      <w:jc w:val="center"/>
    </w:pPr>
    <w:rPr>
      <w:rFonts w:eastAsia="MingLiU"/>
      <w:b/>
      <w:caps/>
    </w:rPr>
  </w:style>
  <w:style w:type="paragraph" w:styleId="Footer">
    <w:name w:val="footer"/>
    <w:basedOn w:val="Normal"/>
    <w:link w:val="FooterChar"/>
    <w:uiPriority w:val="99"/>
    <w:rsid w:val="00A324BE"/>
    <w:pPr>
      <w:tabs>
        <w:tab w:val="center" w:pos="4763"/>
        <w:tab w:val="right" w:pos="9497"/>
      </w:tabs>
      <w:spacing w:line="260" w:lineRule="atLeast"/>
    </w:pPr>
    <w:rPr>
      <w:rFonts w:eastAsia="SimSun"/>
      <w:sz w:val="12"/>
      <w:szCs w:val="20"/>
      <w:lang w:eastAsia="zh-CN"/>
    </w:rPr>
  </w:style>
  <w:style w:type="character" w:customStyle="1" w:styleId="FooterChar">
    <w:name w:val="Footer Char"/>
    <w:link w:val="Footer"/>
    <w:uiPriority w:val="99"/>
    <w:rsid w:val="00A324BE"/>
    <w:rPr>
      <w:rFonts w:eastAsia="SimSun" w:cstheme="minorBidi"/>
      <w:sz w:val="12"/>
      <w:szCs w:val="20"/>
      <w:lang w:eastAsia="zh-CN"/>
    </w:rPr>
  </w:style>
  <w:style w:type="character" w:styleId="FootnoteReference">
    <w:name w:val="footnote reference"/>
    <w:basedOn w:val="DefaultParagraphFont"/>
    <w:uiPriority w:val="99"/>
    <w:rsid w:val="0005175F"/>
    <w:rPr>
      <w:sz w:val="17"/>
      <w:vertAlign w:val="superscript"/>
    </w:rPr>
  </w:style>
  <w:style w:type="paragraph" w:styleId="FootnoteText">
    <w:name w:val="footnote text"/>
    <w:basedOn w:val="Normal"/>
    <w:link w:val="FootnoteTextChar"/>
    <w:uiPriority w:val="99"/>
    <w:rsid w:val="0005175F"/>
    <w:pPr>
      <w:tabs>
        <w:tab w:val="left" w:pos="284"/>
      </w:tabs>
      <w:ind w:left="284" w:hanging="284"/>
    </w:pPr>
    <w:rPr>
      <w:color w:val="000000"/>
      <w:sz w:val="16"/>
      <w:szCs w:val="16"/>
    </w:rPr>
  </w:style>
  <w:style w:type="character" w:customStyle="1" w:styleId="FootnoteTextChar">
    <w:name w:val="Footnote Text Char"/>
    <w:basedOn w:val="DefaultParagraphFont"/>
    <w:link w:val="FootnoteText"/>
    <w:uiPriority w:val="99"/>
    <w:rsid w:val="0005175F"/>
    <w:rPr>
      <w:rFonts w:eastAsiaTheme="minorHAnsi" w:cstheme="minorBidi"/>
      <w:color w:val="000000"/>
      <w:sz w:val="16"/>
      <w:szCs w:val="16"/>
      <w:lang w:eastAsia="en-US"/>
    </w:rPr>
  </w:style>
  <w:style w:type="paragraph" w:styleId="Header">
    <w:name w:val="header"/>
    <w:basedOn w:val="Normal"/>
    <w:link w:val="HeaderChar"/>
    <w:uiPriority w:val="99"/>
    <w:rsid w:val="00A324BE"/>
    <w:pPr>
      <w:tabs>
        <w:tab w:val="center" w:pos="4513"/>
        <w:tab w:val="right" w:pos="9026"/>
      </w:tabs>
    </w:pPr>
  </w:style>
  <w:style w:type="character" w:customStyle="1" w:styleId="HeaderChar">
    <w:name w:val="Header Char"/>
    <w:basedOn w:val="DefaultParagraphFont"/>
    <w:link w:val="Header"/>
    <w:uiPriority w:val="99"/>
    <w:rsid w:val="00A324BE"/>
    <w:rPr>
      <w:rFonts w:eastAsiaTheme="minorHAnsi" w:cstheme="minorBidi"/>
      <w:lang w:eastAsia="en-US"/>
    </w:rPr>
  </w:style>
  <w:style w:type="paragraph" w:customStyle="1" w:styleId="ssNoHeading1">
    <w:name w:val="ssNoHeading1"/>
    <w:basedOn w:val="Heading1"/>
    <w:uiPriority w:val="2"/>
    <w:qFormat/>
    <w:rsid w:val="00A324BE"/>
    <w:pPr>
      <w:keepNext w:val="0"/>
      <w:keepLines w:val="0"/>
    </w:pPr>
    <w:rPr>
      <w:b w:val="0"/>
      <w:u w:val="none"/>
    </w:rPr>
  </w:style>
  <w:style w:type="character" w:customStyle="1" w:styleId="Heading4Char">
    <w:name w:val="Heading 4 Char"/>
    <w:link w:val="Heading4"/>
    <w:uiPriority w:val="9"/>
    <w:rsid w:val="00A324BE"/>
    <w:rPr>
      <w:rFonts w:eastAsia="MingLiU"/>
      <w:b/>
      <w:bCs/>
      <w:iCs/>
    </w:rPr>
  </w:style>
  <w:style w:type="character" w:customStyle="1" w:styleId="Heading5Char">
    <w:name w:val="Heading 5 Char"/>
    <w:link w:val="Heading5"/>
    <w:uiPriority w:val="9"/>
    <w:rsid w:val="00A324BE"/>
    <w:rPr>
      <w:rFonts w:eastAsia="MingLiU"/>
      <w:b/>
    </w:rPr>
  </w:style>
  <w:style w:type="character" w:customStyle="1" w:styleId="Heading6Char">
    <w:name w:val="Heading 6 Char"/>
    <w:link w:val="Heading6"/>
    <w:uiPriority w:val="9"/>
    <w:rsid w:val="00A324BE"/>
    <w:rPr>
      <w:rFonts w:eastAsia="MingLiU"/>
      <w:b/>
      <w:iCs/>
    </w:rPr>
  </w:style>
  <w:style w:type="paragraph" w:customStyle="1" w:styleId="ssNoHeading2">
    <w:name w:val="ssNoHeading2"/>
    <w:basedOn w:val="Heading2"/>
    <w:uiPriority w:val="2"/>
    <w:qFormat/>
    <w:rsid w:val="00A324BE"/>
    <w:pPr>
      <w:keepNext w:val="0"/>
      <w:keepLines w:val="0"/>
    </w:pPr>
    <w:rPr>
      <w:b w:val="0"/>
    </w:rPr>
  </w:style>
  <w:style w:type="paragraph" w:customStyle="1" w:styleId="ssNoHeading3">
    <w:name w:val="ssNoHeading3"/>
    <w:basedOn w:val="Heading3"/>
    <w:uiPriority w:val="2"/>
    <w:qFormat/>
    <w:rsid w:val="00A324BE"/>
    <w:pPr>
      <w:keepNext w:val="0"/>
      <w:keepLines w:val="0"/>
    </w:pPr>
    <w:rPr>
      <w:b w:val="0"/>
    </w:rPr>
  </w:style>
  <w:style w:type="paragraph" w:customStyle="1" w:styleId="ssNoHeading4">
    <w:name w:val="ssNoHeading4"/>
    <w:basedOn w:val="Heading4"/>
    <w:uiPriority w:val="29"/>
    <w:qFormat/>
    <w:rsid w:val="00A324BE"/>
    <w:pPr>
      <w:keepNext w:val="0"/>
      <w:keepLines w:val="0"/>
    </w:pPr>
    <w:rPr>
      <w:b w:val="0"/>
    </w:rPr>
  </w:style>
  <w:style w:type="paragraph" w:customStyle="1" w:styleId="ssNoHeading5">
    <w:name w:val="ssNoHeading5"/>
    <w:basedOn w:val="Heading5"/>
    <w:uiPriority w:val="29"/>
    <w:qFormat/>
    <w:rsid w:val="00A324BE"/>
    <w:pPr>
      <w:keepNext w:val="0"/>
      <w:keepLines w:val="0"/>
    </w:pPr>
    <w:rPr>
      <w:b w:val="0"/>
    </w:rPr>
  </w:style>
  <w:style w:type="paragraph" w:customStyle="1" w:styleId="ssNoHeading6">
    <w:name w:val="ssNoHeading6"/>
    <w:basedOn w:val="Heading6"/>
    <w:uiPriority w:val="29"/>
    <w:qFormat/>
    <w:rsid w:val="00A324BE"/>
    <w:pPr>
      <w:keepNext w:val="0"/>
      <w:keepLines w:val="0"/>
    </w:pPr>
    <w:rPr>
      <w:b w:val="0"/>
    </w:rPr>
  </w:style>
  <w:style w:type="character" w:styleId="Hyperlink">
    <w:name w:val="Hyperlink"/>
    <w:basedOn w:val="DefaultParagraphFont"/>
    <w:uiPriority w:val="99"/>
    <w:rsid w:val="00A324BE"/>
    <w:rPr>
      <w:color w:val="0563C1" w:themeColor="hyperlink"/>
      <w:u w:val="single"/>
    </w:rPr>
  </w:style>
  <w:style w:type="paragraph" w:styleId="Index1">
    <w:name w:val="index 1"/>
    <w:basedOn w:val="Normal"/>
    <w:next w:val="Normal"/>
    <w:autoRedefine/>
    <w:uiPriority w:val="99"/>
    <w:rsid w:val="00A324BE"/>
    <w:pPr>
      <w:spacing w:after="120"/>
      <w:ind w:left="221" w:hanging="221"/>
    </w:pPr>
    <w:rPr>
      <w:rFonts w:eastAsia="Times New Roman"/>
    </w:rPr>
  </w:style>
  <w:style w:type="paragraph" w:styleId="Index2">
    <w:name w:val="index 2"/>
    <w:basedOn w:val="Normal"/>
    <w:next w:val="Normal"/>
    <w:autoRedefine/>
    <w:uiPriority w:val="99"/>
    <w:rsid w:val="00A324BE"/>
    <w:pPr>
      <w:spacing w:after="120"/>
      <w:ind w:left="442" w:hanging="221"/>
    </w:pPr>
    <w:rPr>
      <w:rFonts w:eastAsia="Times New Roman"/>
    </w:rPr>
  </w:style>
  <w:style w:type="paragraph" w:styleId="Index3">
    <w:name w:val="index 3"/>
    <w:basedOn w:val="Normal"/>
    <w:next w:val="Normal"/>
    <w:autoRedefine/>
    <w:uiPriority w:val="10"/>
    <w:rsid w:val="00A324BE"/>
    <w:pPr>
      <w:spacing w:after="120"/>
      <w:ind w:left="663" w:hanging="221"/>
    </w:pPr>
    <w:rPr>
      <w:rFonts w:eastAsia="Times New Roman"/>
    </w:rPr>
  </w:style>
  <w:style w:type="paragraph" w:styleId="Index4">
    <w:name w:val="index 4"/>
    <w:basedOn w:val="Normal"/>
    <w:next w:val="Normal"/>
    <w:autoRedefine/>
    <w:uiPriority w:val="10"/>
    <w:unhideWhenUsed/>
    <w:rsid w:val="00A324BE"/>
    <w:pPr>
      <w:spacing w:after="120"/>
      <w:ind w:left="879" w:hanging="221"/>
    </w:pPr>
    <w:rPr>
      <w:rFonts w:eastAsia="Times New Roman"/>
    </w:rPr>
  </w:style>
  <w:style w:type="paragraph" w:styleId="Index5">
    <w:name w:val="index 5"/>
    <w:basedOn w:val="Normal"/>
    <w:next w:val="Normal"/>
    <w:autoRedefine/>
    <w:uiPriority w:val="10"/>
    <w:unhideWhenUsed/>
    <w:rsid w:val="00A324BE"/>
    <w:pPr>
      <w:spacing w:after="120"/>
      <w:ind w:left="1100" w:hanging="221"/>
    </w:pPr>
    <w:rPr>
      <w:rFonts w:eastAsia="Times New Roman"/>
    </w:rPr>
  </w:style>
  <w:style w:type="paragraph" w:styleId="Index6">
    <w:name w:val="index 6"/>
    <w:basedOn w:val="Normal"/>
    <w:next w:val="Normal"/>
    <w:autoRedefine/>
    <w:uiPriority w:val="10"/>
    <w:unhideWhenUsed/>
    <w:rsid w:val="00A324BE"/>
    <w:pPr>
      <w:spacing w:after="120"/>
      <w:ind w:left="1321" w:hanging="221"/>
    </w:pPr>
    <w:rPr>
      <w:rFonts w:eastAsia="Times New Roman"/>
    </w:rPr>
  </w:style>
  <w:style w:type="paragraph" w:styleId="Index7">
    <w:name w:val="index 7"/>
    <w:basedOn w:val="Normal"/>
    <w:next w:val="Normal"/>
    <w:autoRedefine/>
    <w:uiPriority w:val="10"/>
    <w:unhideWhenUsed/>
    <w:rsid w:val="00A324BE"/>
    <w:pPr>
      <w:spacing w:after="120"/>
      <w:ind w:left="1542" w:hanging="221"/>
    </w:pPr>
    <w:rPr>
      <w:rFonts w:eastAsia="Times New Roman"/>
    </w:rPr>
  </w:style>
  <w:style w:type="paragraph" w:styleId="Index8">
    <w:name w:val="index 8"/>
    <w:basedOn w:val="Normal"/>
    <w:next w:val="Normal"/>
    <w:autoRedefine/>
    <w:uiPriority w:val="10"/>
    <w:unhideWhenUsed/>
    <w:rsid w:val="00A324BE"/>
    <w:pPr>
      <w:spacing w:after="120"/>
      <w:ind w:left="1763" w:hanging="221"/>
    </w:pPr>
    <w:rPr>
      <w:rFonts w:eastAsia="Times New Roman"/>
    </w:rPr>
  </w:style>
  <w:style w:type="paragraph" w:styleId="Index9">
    <w:name w:val="index 9"/>
    <w:basedOn w:val="Normal"/>
    <w:next w:val="Normal"/>
    <w:autoRedefine/>
    <w:uiPriority w:val="10"/>
    <w:unhideWhenUsed/>
    <w:rsid w:val="00A324BE"/>
    <w:pPr>
      <w:spacing w:after="120"/>
      <w:ind w:left="1979" w:hanging="221"/>
    </w:pPr>
    <w:rPr>
      <w:rFonts w:eastAsia="Times New Roman"/>
    </w:rPr>
  </w:style>
  <w:style w:type="paragraph" w:styleId="IndexHeading">
    <w:name w:val="index heading"/>
    <w:basedOn w:val="Normal"/>
    <w:next w:val="Index1"/>
    <w:uiPriority w:val="9"/>
    <w:rsid w:val="00A324BE"/>
    <w:rPr>
      <w:rFonts w:asciiTheme="majorHAnsi" w:eastAsiaTheme="majorEastAsia" w:hAnsiTheme="majorHAnsi" w:cstheme="majorBidi"/>
      <w:b/>
      <w:bCs/>
    </w:rPr>
  </w:style>
  <w:style w:type="paragraph" w:customStyle="1" w:styleId="ssqPart">
    <w:name w:val="ssqPart"/>
    <w:basedOn w:val="ssPara1"/>
    <w:next w:val="ssPara1"/>
    <w:uiPriority w:val="43"/>
    <w:qFormat/>
    <w:rsid w:val="00A324BE"/>
    <w:pPr>
      <w:numPr>
        <w:numId w:val="49"/>
      </w:numPr>
      <w:jc w:val="center"/>
    </w:pPr>
    <w:rPr>
      <w:rFonts w:eastAsia="MingLiU"/>
      <w:b/>
      <w:caps/>
    </w:rPr>
  </w:style>
  <w:style w:type="paragraph" w:styleId="ListParagraph">
    <w:name w:val="List Paragraph"/>
    <w:basedOn w:val="Normal"/>
    <w:uiPriority w:val="34"/>
    <w:qFormat/>
    <w:rsid w:val="00A324BE"/>
    <w:pPr>
      <w:ind w:left="720"/>
      <w:contextualSpacing/>
    </w:pPr>
  </w:style>
  <w:style w:type="paragraph" w:customStyle="1" w:styleId="Parties">
    <w:name w:val="Parties"/>
    <w:basedOn w:val="Normal"/>
    <w:rsid w:val="00A324BE"/>
    <w:pPr>
      <w:numPr>
        <w:numId w:val="38"/>
      </w:numPr>
      <w:spacing w:after="260"/>
    </w:pPr>
  </w:style>
  <w:style w:type="paragraph" w:customStyle="1" w:styleId="Recitals">
    <w:name w:val="Recitals"/>
    <w:basedOn w:val="Normal"/>
    <w:rsid w:val="00A324BE"/>
    <w:pPr>
      <w:numPr>
        <w:numId w:val="39"/>
      </w:numPr>
      <w:spacing w:after="260"/>
    </w:pPr>
  </w:style>
  <w:style w:type="paragraph" w:customStyle="1" w:styleId="SchHead1">
    <w:name w:val="Sch Head 1"/>
    <w:basedOn w:val="SchLevel1"/>
    <w:next w:val="ssPara1"/>
    <w:uiPriority w:val="6"/>
    <w:rsid w:val="00A324BE"/>
    <w:rPr>
      <w:b/>
      <w:u w:val="single"/>
    </w:rPr>
  </w:style>
  <w:style w:type="paragraph" w:customStyle="1" w:styleId="SchHead2">
    <w:name w:val="Sch Head 2"/>
    <w:basedOn w:val="SchLevel2"/>
    <w:next w:val="ssPara2"/>
    <w:uiPriority w:val="6"/>
    <w:rsid w:val="00A324BE"/>
    <w:rPr>
      <w:b/>
    </w:rPr>
  </w:style>
  <w:style w:type="paragraph" w:customStyle="1" w:styleId="SchLevel1">
    <w:name w:val="Sch Level 1"/>
    <w:basedOn w:val="Heading1"/>
    <w:uiPriority w:val="6"/>
    <w:rsid w:val="00A324BE"/>
    <w:pPr>
      <w:outlineLvl w:val="1"/>
    </w:pPr>
    <w:rPr>
      <w:b w:val="0"/>
      <w:u w:val="none"/>
    </w:rPr>
  </w:style>
  <w:style w:type="paragraph" w:customStyle="1" w:styleId="SchLevel2">
    <w:name w:val="Sch Level 2"/>
    <w:basedOn w:val="Heading2"/>
    <w:uiPriority w:val="6"/>
    <w:rsid w:val="00A324BE"/>
    <w:pPr>
      <w:outlineLvl w:val="2"/>
    </w:pPr>
    <w:rPr>
      <w:b w:val="0"/>
    </w:rPr>
  </w:style>
  <w:style w:type="paragraph" w:customStyle="1" w:styleId="SchLevel3">
    <w:name w:val="Sch Level 3"/>
    <w:basedOn w:val="Heading3"/>
    <w:uiPriority w:val="6"/>
    <w:rsid w:val="00A324BE"/>
    <w:pPr>
      <w:outlineLvl w:val="3"/>
    </w:pPr>
    <w:rPr>
      <w:b w:val="0"/>
    </w:rPr>
  </w:style>
  <w:style w:type="paragraph" w:customStyle="1" w:styleId="SchHead3">
    <w:name w:val="Sch Head 3"/>
    <w:basedOn w:val="SchLevel3"/>
    <w:next w:val="ssPara3"/>
    <w:uiPriority w:val="6"/>
    <w:rsid w:val="00A324BE"/>
    <w:rPr>
      <w:b/>
    </w:rPr>
  </w:style>
  <w:style w:type="paragraph" w:customStyle="1" w:styleId="SchLevel4">
    <w:name w:val="Sch Level 4"/>
    <w:basedOn w:val="Heading4"/>
    <w:uiPriority w:val="6"/>
    <w:rsid w:val="00A324BE"/>
    <w:pPr>
      <w:outlineLvl w:val="4"/>
    </w:pPr>
    <w:rPr>
      <w:b w:val="0"/>
    </w:rPr>
  </w:style>
  <w:style w:type="paragraph" w:customStyle="1" w:styleId="SchHead4">
    <w:name w:val="Sch Head 4"/>
    <w:basedOn w:val="SchLevel4"/>
    <w:next w:val="ssPara4"/>
    <w:uiPriority w:val="6"/>
    <w:rsid w:val="00A324BE"/>
    <w:rPr>
      <w:b/>
    </w:rPr>
  </w:style>
  <w:style w:type="paragraph" w:customStyle="1" w:styleId="SchLevel5">
    <w:name w:val="Sch Level 5"/>
    <w:basedOn w:val="Heading5"/>
    <w:uiPriority w:val="6"/>
    <w:rsid w:val="00A324BE"/>
    <w:pPr>
      <w:outlineLvl w:val="5"/>
    </w:pPr>
    <w:rPr>
      <w:b w:val="0"/>
    </w:rPr>
  </w:style>
  <w:style w:type="paragraph" w:customStyle="1" w:styleId="SchHead5">
    <w:name w:val="Sch Head 5"/>
    <w:basedOn w:val="SchLevel5"/>
    <w:next w:val="ssPara5"/>
    <w:uiPriority w:val="6"/>
    <w:rsid w:val="00A324BE"/>
    <w:rPr>
      <w:b/>
    </w:rPr>
  </w:style>
  <w:style w:type="paragraph" w:customStyle="1" w:styleId="SchLevel6">
    <w:name w:val="Sch Level 6"/>
    <w:basedOn w:val="Heading6"/>
    <w:uiPriority w:val="6"/>
    <w:rsid w:val="00A324BE"/>
    <w:pPr>
      <w:outlineLvl w:val="6"/>
    </w:pPr>
    <w:rPr>
      <w:b w:val="0"/>
    </w:rPr>
  </w:style>
  <w:style w:type="paragraph" w:customStyle="1" w:styleId="SchHead6">
    <w:name w:val="Sch Head 6"/>
    <w:basedOn w:val="SchLevel6"/>
    <w:next w:val="ssPara6"/>
    <w:uiPriority w:val="6"/>
    <w:rsid w:val="00A324BE"/>
    <w:rPr>
      <w:b/>
    </w:rPr>
  </w:style>
  <w:style w:type="paragraph" w:customStyle="1" w:styleId="ssqSchedule">
    <w:name w:val="ssqSchedule"/>
    <w:basedOn w:val="ssPara1"/>
    <w:next w:val="ssPara1"/>
    <w:uiPriority w:val="45"/>
    <w:qFormat/>
    <w:rsid w:val="00A324BE"/>
    <w:pPr>
      <w:pageBreakBefore/>
      <w:numPr>
        <w:numId w:val="50"/>
      </w:numPr>
      <w:jc w:val="center"/>
    </w:pPr>
    <w:rPr>
      <w:rFonts w:eastAsia="MingLiU"/>
      <w:b/>
      <w:caps/>
    </w:rPr>
  </w:style>
  <w:style w:type="paragraph" w:customStyle="1" w:styleId="ssqSection">
    <w:name w:val="ssqSection"/>
    <w:basedOn w:val="ssPara1"/>
    <w:next w:val="ssPara1"/>
    <w:uiPriority w:val="45"/>
    <w:qFormat/>
    <w:rsid w:val="00A324BE"/>
    <w:pPr>
      <w:numPr>
        <w:numId w:val="46"/>
      </w:numPr>
      <w:jc w:val="center"/>
    </w:pPr>
    <w:rPr>
      <w:b/>
      <w:caps/>
    </w:rPr>
  </w:style>
  <w:style w:type="paragraph" w:customStyle="1" w:styleId="ssPara">
    <w:name w:val="ssPara"/>
    <w:basedOn w:val="Normal"/>
    <w:uiPriority w:val="1"/>
    <w:qFormat/>
    <w:rsid w:val="00A324BE"/>
    <w:pPr>
      <w:numPr>
        <w:numId w:val="54"/>
      </w:numPr>
      <w:spacing w:after="260"/>
    </w:pPr>
  </w:style>
  <w:style w:type="paragraph" w:customStyle="1" w:styleId="ssPara1">
    <w:name w:val="ssPara1"/>
    <w:basedOn w:val="Normal"/>
    <w:link w:val="ssPara1Char"/>
    <w:uiPriority w:val="1"/>
    <w:qFormat/>
    <w:rsid w:val="00A324BE"/>
    <w:pPr>
      <w:numPr>
        <w:ilvl w:val="1"/>
        <w:numId w:val="54"/>
      </w:numPr>
      <w:spacing w:after="260"/>
    </w:pPr>
  </w:style>
  <w:style w:type="paragraph" w:customStyle="1" w:styleId="ssPara2">
    <w:name w:val="ssPara2"/>
    <w:basedOn w:val="Normal"/>
    <w:uiPriority w:val="1"/>
    <w:qFormat/>
    <w:rsid w:val="00A324BE"/>
    <w:pPr>
      <w:numPr>
        <w:ilvl w:val="2"/>
        <w:numId w:val="54"/>
      </w:numPr>
      <w:spacing w:after="260"/>
    </w:pPr>
  </w:style>
  <w:style w:type="paragraph" w:customStyle="1" w:styleId="ssPara3">
    <w:name w:val="ssPara3"/>
    <w:basedOn w:val="Normal"/>
    <w:uiPriority w:val="1"/>
    <w:rsid w:val="00A324BE"/>
    <w:pPr>
      <w:numPr>
        <w:ilvl w:val="3"/>
        <w:numId w:val="54"/>
      </w:numPr>
      <w:spacing w:after="260"/>
    </w:pPr>
  </w:style>
  <w:style w:type="paragraph" w:customStyle="1" w:styleId="ssPara4">
    <w:name w:val="ssPara4"/>
    <w:basedOn w:val="Normal"/>
    <w:uiPriority w:val="1"/>
    <w:rsid w:val="00A324BE"/>
    <w:pPr>
      <w:numPr>
        <w:ilvl w:val="4"/>
        <w:numId w:val="54"/>
      </w:numPr>
      <w:spacing w:after="260"/>
    </w:pPr>
  </w:style>
  <w:style w:type="paragraph" w:customStyle="1" w:styleId="ssPara5">
    <w:name w:val="ssPara5"/>
    <w:basedOn w:val="Normal"/>
    <w:uiPriority w:val="1"/>
    <w:rsid w:val="00A324BE"/>
    <w:pPr>
      <w:numPr>
        <w:ilvl w:val="5"/>
        <w:numId w:val="54"/>
      </w:numPr>
      <w:spacing w:after="260"/>
    </w:pPr>
  </w:style>
  <w:style w:type="paragraph" w:customStyle="1" w:styleId="ssPara6">
    <w:name w:val="ssPara6"/>
    <w:basedOn w:val="Normal"/>
    <w:uiPriority w:val="1"/>
    <w:rsid w:val="00A324BE"/>
    <w:pPr>
      <w:numPr>
        <w:ilvl w:val="6"/>
        <w:numId w:val="54"/>
      </w:numPr>
      <w:spacing w:after="260"/>
    </w:pPr>
  </w:style>
  <w:style w:type="paragraph" w:styleId="TOC1">
    <w:name w:val="toc 1"/>
    <w:basedOn w:val="Normal"/>
    <w:next w:val="Normal"/>
    <w:autoRedefine/>
    <w:uiPriority w:val="39"/>
    <w:rsid w:val="00BF63B6"/>
    <w:pPr>
      <w:tabs>
        <w:tab w:val="right" w:leader="dot" w:pos="9497"/>
      </w:tabs>
      <w:spacing w:before="260"/>
      <w:ind w:left="709" w:right="595" w:hanging="709"/>
    </w:pPr>
    <w:rPr>
      <w:rFonts w:eastAsia="Times New Roman"/>
    </w:rPr>
  </w:style>
  <w:style w:type="paragraph" w:styleId="TOC2">
    <w:name w:val="toc 2"/>
    <w:basedOn w:val="Normal"/>
    <w:next w:val="Normal"/>
    <w:autoRedefine/>
    <w:uiPriority w:val="39"/>
    <w:rsid w:val="00A324BE"/>
    <w:pPr>
      <w:tabs>
        <w:tab w:val="right" w:leader="dot" w:pos="9497"/>
      </w:tabs>
      <w:spacing w:before="260"/>
      <w:ind w:left="1418" w:right="595" w:hanging="709"/>
    </w:pPr>
    <w:rPr>
      <w:rFonts w:eastAsia="Times New Roman"/>
    </w:rPr>
  </w:style>
  <w:style w:type="paragraph" w:styleId="TOC3">
    <w:name w:val="toc 3"/>
    <w:basedOn w:val="Normal"/>
    <w:next w:val="Normal"/>
    <w:autoRedefine/>
    <w:uiPriority w:val="39"/>
    <w:rsid w:val="00A324BE"/>
    <w:pPr>
      <w:tabs>
        <w:tab w:val="right" w:leader="dot" w:pos="9497"/>
      </w:tabs>
      <w:spacing w:before="260"/>
      <w:ind w:left="2127" w:right="595" w:hanging="709"/>
    </w:pPr>
    <w:rPr>
      <w:rFonts w:eastAsia="Times New Roman"/>
    </w:rPr>
  </w:style>
  <w:style w:type="paragraph" w:styleId="TOC4">
    <w:name w:val="toc 4"/>
    <w:basedOn w:val="Normal"/>
    <w:next w:val="Normal"/>
    <w:autoRedefine/>
    <w:uiPriority w:val="39"/>
    <w:rsid w:val="00A324BE"/>
    <w:pPr>
      <w:tabs>
        <w:tab w:val="right" w:leader="dot" w:pos="9497"/>
      </w:tabs>
      <w:spacing w:before="260"/>
      <w:ind w:left="2694" w:right="595" w:hanging="709"/>
    </w:pPr>
    <w:rPr>
      <w:rFonts w:eastAsia="Times New Roman"/>
    </w:rPr>
  </w:style>
  <w:style w:type="table" w:customStyle="1" w:styleId="Training">
    <w:name w:val="Training"/>
    <w:basedOn w:val="TableNormal"/>
    <w:uiPriority w:val="99"/>
    <w:rsid w:val="00A324BE"/>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character" w:styleId="PageNumber">
    <w:name w:val="page number"/>
    <w:uiPriority w:val="99"/>
    <w:rsid w:val="004F0CA7"/>
    <w:rPr>
      <w:rFonts w:ascii="Arial" w:hAnsi="Arial"/>
      <w:sz w:val="20"/>
    </w:rPr>
  </w:style>
  <w:style w:type="paragraph" w:customStyle="1" w:styleId="ssContactDetails">
    <w:name w:val="ssContactDetails"/>
    <w:basedOn w:val="Normal"/>
    <w:rsid w:val="00A324BE"/>
    <w:pPr>
      <w:spacing w:line="260" w:lineRule="exact"/>
    </w:pPr>
    <w:rPr>
      <w:rFonts w:eastAsia="MingLiU" w:asciiTheme="minorHAnsi" w:hAnsiTheme="minorHAnsi" w:cs="Times New Roman"/>
      <w:sz w:val="16"/>
      <w:szCs w:val="16"/>
      <w:lang w:eastAsia="ja-JP"/>
    </w:rPr>
  </w:style>
  <w:style w:type="paragraph" w:customStyle="1" w:styleId="ssSpacingLine">
    <w:name w:val="ssSpacingLine"/>
    <w:basedOn w:val="Normal"/>
    <w:rsid w:val="00A324BE"/>
    <w:pPr>
      <w:spacing w:line="260" w:lineRule="atLeast"/>
    </w:pPr>
    <w:rPr>
      <w:rFonts w:eastAsia="MingLiU" w:asciiTheme="minorHAnsi" w:hAnsiTheme="minorHAnsi" w:cs="Times New Roman"/>
      <w:lang w:eastAsia="ja-JP"/>
    </w:rPr>
  </w:style>
  <w:style w:type="paragraph" w:customStyle="1" w:styleId="ssUserEntry">
    <w:name w:val="ssUserEntry"/>
    <w:basedOn w:val="Normal"/>
    <w:rsid w:val="00A324BE"/>
    <w:pPr>
      <w:spacing w:line="260" w:lineRule="exact"/>
    </w:pPr>
    <w:rPr>
      <w:rFonts w:eastAsia="MingLiU" w:asciiTheme="minorHAnsi" w:hAnsiTheme="minorHAnsi" w:cs="Times New Roman"/>
      <w:lang w:eastAsia="ja-JP"/>
    </w:rPr>
  </w:style>
  <w:style w:type="paragraph" w:customStyle="1" w:styleId="ssLegendsUnderlined">
    <w:name w:val="ssLegendsUnderlined"/>
    <w:basedOn w:val="Normal"/>
    <w:semiHidden/>
    <w:rsid w:val="00A324BE"/>
    <w:pPr>
      <w:spacing w:line="260" w:lineRule="exact"/>
      <w:jc w:val="right"/>
    </w:pPr>
    <w:rPr>
      <w:rFonts w:eastAsia="MingLiU" w:asciiTheme="minorHAnsi" w:hAnsiTheme="minorHAnsi" w:cs="Times New Roman"/>
      <w:b/>
      <w:u w:val="single"/>
      <w:lang w:eastAsia="ja-JP"/>
    </w:rPr>
  </w:style>
  <w:style w:type="paragraph" w:customStyle="1" w:styleId="ssDocName">
    <w:name w:val="ssDocName"/>
    <w:basedOn w:val="Normal"/>
    <w:semiHidden/>
    <w:rsid w:val="00A324BE"/>
    <w:pPr>
      <w:spacing w:before="120" w:after="800" w:line="260" w:lineRule="atLeast"/>
    </w:pPr>
    <w:rPr>
      <w:rFonts w:eastAsia="MingLiU" w:asciiTheme="minorHAnsi" w:hAnsiTheme="minorHAnsi" w:cs="Times New Roman"/>
      <w:sz w:val="54"/>
      <w:szCs w:val="54"/>
      <w:lang w:eastAsia="en-GB"/>
    </w:rPr>
  </w:style>
  <w:style w:type="paragraph" w:customStyle="1" w:styleId="ssRole">
    <w:name w:val="ssRole"/>
    <w:basedOn w:val="Normal"/>
    <w:semiHidden/>
    <w:rsid w:val="00A324BE"/>
    <w:pPr>
      <w:spacing w:line="260" w:lineRule="atLeast"/>
    </w:pPr>
    <w:rPr>
      <w:rFonts w:eastAsia="MingLiU" w:asciiTheme="minorHAnsi" w:hAnsiTheme="minorHAnsi" w:cs="Times New Roman"/>
      <w:sz w:val="18"/>
      <w:szCs w:val="18"/>
      <w:lang w:eastAsia="en-GB"/>
    </w:rPr>
  </w:style>
  <w:style w:type="paragraph" w:customStyle="1" w:styleId="ssParty">
    <w:name w:val="ssParty"/>
    <w:basedOn w:val="Normal"/>
    <w:uiPriority w:val="19"/>
    <w:rsid w:val="0093437F"/>
    <w:pPr>
      <w:spacing w:line="260" w:lineRule="atLeast"/>
    </w:pPr>
    <w:rPr>
      <w:rFonts w:eastAsia="MingLiU" w:asciiTheme="minorHAnsi" w:hAnsiTheme="minorHAnsi" w:cs="Times New Roman"/>
      <w:sz w:val="28"/>
      <w:szCs w:val="28"/>
      <w:lang w:eastAsia="en-GB"/>
    </w:rPr>
  </w:style>
  <w:style w:type="paragraph" w:customStyle="1" w:styleId="ssContents">
    <w:name w:val="ssContents"/>
    <w:basedOn w:val="Normal"/>
    <w:semiHidden/>
    <w:rsid w:val="00A324BE"/>
    <w:pPr>
      <w:spacing w:before="20"/>
      <w:jc w:val="center"/>
    </w:pPr>
    <w:rPr>
      <w:rFonts w:eastAsia="MingLiU" w:asciiTheme="minorHAnsi" w:hAnsiTheme="minorHAnsi" w:cs="Times New Roman"/>
      <w:b/>
      <w:caps/>
      <w:lang w:eastAsia="en-GB"/>
    </w:rPr>
  </w:style>
  <w:style w:type="paragraph" w:customStyle="1" w:styleId="ssAgrTypeText">
    <w:name w:val="ssAgrTypeText"/>
    <w:basedOn w:val="Normal"/>
    <w:uiPriority w:val="99"/>
    <w:rsid w:val="00A324BE"/>
    <w:pPr>
      <w:keepNext/>
      <w:spacing w:after="260"/>
      <w:outlineLvl w:val="0"/>
    </w:pPr>
    <w:rPr>
      <w:rFonts w:cs="Arial"/>
      <w:b/>
      <w:bCs/>
      <w:caps/>
    </w:rPr>
  </w:style>
  <w:style w:type="table" w:styleId="TableGrid">
    <w:name w:val="Table Grid"/>
    <w:basedOn w:val="TableNormal"/>
    <w:uiPriority w:val="39"/>
    <w:rsid w:val="00A324BE"/>
    <w:rPr>
      <w:rFonts w:eastAsia="SimSun"/>
      <w:szCs w:val="20"/>
    </w:rPr>
    <w:tblPr/>
  </w:style>
  <w:style w:type="character" w:customStyle="1" w:styleId="Heading7Char">
    <w:name w:val="Heading 7 Char"/>
    <w:basedOn w:val="DefaultParagraphFont"/>
    <w:link w:val="Heading7"/>
    <w:uiPriority w:val="9"/>
    <w:semiHidden/>
    <w:rsid w:val="00337688"/>
    <w:rPr>
      <w:rFonts w:eastAsia="MingLiU" w:asciiTheme="minorHAnsi" w:hAnsiTheme="minorHAnsi"/>
      <w:szCs w:val="24"/>
    </w:rPr>
  </w:style>
  <w:style w:type="paragraph" w:customStyle="1" w:styleId="Notes">
    <w:name w:val="Notes"/>
    <w:basedOn w:val="Normal"/>
    <w:uiPriority w:val="19"/>
    <w:rsid w:val="00A324BE"/>
    <w:pPr>
      <w:pBdr>
        <w:top w:val="single" w:sz="12" w:space="1" w:color="auto"/>
        <w:left w:val="single" w:sz="12" w:space="4" w:color="auto"/>
        <w:bottom w:val="single" w:sz="12" w:space="1" w:color="auto"/>
        <w:right w:val="single" w:sz="12" w:space="4" w:color="auto"/>
      </w:pBdr>
      <w:spacing w:after="260"/>
    </w:pPr>
    <w:rPr>
      <w:b/>
      <w:i/>
      <w:color w:val="FF0000"/>
      <w:sz w:val="18"/>
    </w:rPr>
  </w:style>
  <w:style w:type="numbering" w:customStyle="1" w:styleId="NumDefinitions">
    <w:name w:val="NumDefinitions"/>
    <w:uiPriority w:val="99"/>
    <w:rsid w:val="00A324BE"/>
    <w:pPr>
      <w:numPr>
        <w:numId w:val="32"/>
      </w:numPr>
    </w:pPr>
  </w:style>
  <w:style w:type="numbering" w:customStyle="1" w:styleId="NumMain">
    <w:name w:val="NumMain"/>
    <w:uiPriority w:val="99"/>
    <w:rsid w:val="00A324BE"/>
    <w:pPr>
      <w:numPr>
        <w:numId w:val="33"/>
      </w:numPr>
    </w:pPr>
  </w:style>
  <w:style w:type="numbering" w:customStyle="1" w:styleId="NumPara">
    <w:name w:val="NumPara"/>
    <w:uiPriority w:val="99"/>
    <w:rsid w:val="00A324BE"/>
    <w:pPr>
      <w:numPr>
        <w:numId w:val="34"/>
      </w:numPr>
    </w:pPr>
  </w:style>
  <w:style w:type="numbering" w:customStyle="1" w:styleId="NumParties">
    <w:name w:val="NumParties"/>
    <w:uiPriority w:val="99"/>
    <w:rsid w:val="00A324BE"/>
    <w:pPr>
      <w:numPr>
        <w:numId w:val="35"/>
      </w:numPr>
    </w:pPr>
  </w:style>
  <w:style w:type="numbering" w:customStyle="1" w:styleId="NumRecitals">
    <w:name w:val="NumRecitals"/>
    <w:uiPriority w:val="99"/>
    <w:rsid w:val="00A324BE"/>
    <w:pPr>
      <w:numPr>
        <w:numId w:val="36"/>
      </w:numPr>
    </w:pPr>
  </w:style>
  <w:style w:type="numbering" w:customStyle="1" w:styleId="NumSch">
    <w:name w:val="NumSch"/>
    <w:uiPriority w:val="99"/>
    <w:rsid w:val="00A324BE"/>
    <w:pPr>
      <w:numPr>
        <w:numId w:val="37"/>
      </w:numPr>
    </w:pPr>
  </w:style>
  <w:style w:type="paragraph" w:customStyle="1" w:styleId="ssAsiaLogo">
    <w:name w:val="ssAsiaLogo"/>
    <w:basedOn w:val="Normal"/>
    <w:semiHidden/>
    <w:qFormat/>
    <w:rsid w:val="00A324BE"/>
    <w:pPr>
      <w:spacing w:line="260" w:lineRule="atLeast"/>
    </w:pPr>
    <w:rPr>
      <w:rFonts w:eastAsia="DFKai-SB" w:asciiTheme="minorHAnsi" w:hAnsiTheme="minorHAnsi"/>
      <w:sz w:val="30"/>
      <w:szCs w:val="40"/>
    </w:rPr>
  </w:style>
  <w:style w:type="paragraph" w:customStyle="1" w:styleId="ssUserEntryLettered">
    <w:name w:val="ssUserEntryLettered"/>
    <w:basedOn w:val="ssUserEntry"/>
    <w:semiHidden/>
    <w:qFormat/>
    <w:rsid w:val="00A324BE"/>
    <w:pPr>
      <w:numPr>
        <w:numId w:val="40"/>
      </w:numPr>
    </w:pPr>
  </w:style>
  <w:style w:type="paragraph" w:customStyle="1" w:styleId="ssUserEntryNumbered">
    <w:name w:val="ssUserEntryNumbered"/>
    <w:basedOn w:val="ssUserEntry"/>
    <w:semiHidden/>
    <w:qFormat/>
    <w:rsid w:val="00A324BE"/>
    <w:pPr>
      <w:numPr>
        <w:numId w:val="41"/>
      </w:numPr>
    </w:pPr>
  </w:style>
  <w:style w:type="character" w:styleId="PlaceholderText">
    <w:name w:val="Placeholder Text"/>
    <w:basedOn w:val="DefaultParagraphFont"/>
    <w:uiPriority w:val="99"/>
    <w:semiHidden/>
    <w:rsid w:val="00543BED"/>
    <w:rPr>
      <w:color w:val="808080"/>
    </w:rPr>
  </w:style>
  <w:style w:type="paragraph" w:customStyle="1" w:styleId="SummaryParties">
    <w:name w:val="Summary Parties"/>
    <w:basedOn w:val="ssPara"/>
    <w:uiPriority w:val="19"/>
    <w:semiHidden/>
    <w:rsid w:val="00006580"/>
    <w:pPr>
      <w:tabs>
        <w:tab w:val="left" w:pos="4536"/>
      </w:tabs>
    </w:pPr>
  </w:style>
  <w:style w:type="paragraph" w:customStyle="1" w:styleId="ssqAnnexe">
    <w:name w:val="ssqAnnexe"/>
    <w:basedOn w:val="Normal"/>
    <w:next w:val="ssPara1"/>
    <w:link w:val="ssqAnnexeChar"/>
    <w:semiHidden/>
    <w:rsid w:val="002D1D99"/>
    <w:pPr>
      <w:pageBreakBefore/>
      <w:numPr>
        <w:numId w:val="5"/>
      </w:numPr>
      <w:spacing w:after="260"/>
      <w:jc w:val="center"/>
    </w:pPr>
    <w:rPr>
      <w:rFonts w:eastAsia="MingLiU" w:asciiTheme="minorHAnsi" w:hAnsiTheme="minorHAnsi" w:cs="Times New Roman"/>
      <w:b/>
      <w:caps/>
      <w:lang w:eastAsia="en-GB"/>
    </w:rPr>
  </w:style>
  <w:style w:type="paragraph" w:customStyle="1" w:styleId="ssqListe">
    <w:name w:val="ssqListe"/>
    <w:basedOn w:val="ssPara1"/>
    <w:next w:val="ssPara1"/>
    <w:link w:val="ssqListeChar"/>
    <w:semiHidden/>
    <w:rsid w:val="008C2BB1"/>
    <w:pPr>
      <w:pageBreakBefore/>
      <w:numPr>
        <w:ilvl w:val="0"/>
        <w:numId w:val="11"/>
      </w:numPr>
      <w:jc w:val="center"/>
    </w:pPr>
    <w:rPr>
      <w:rFonts w:eastAsia="MingLiU" w:asciiTheme="minorHAnsi" w:hAnsiTheme="minorHAnsi"/>
      <w:b/>
      <w:caps/>
    </w:rPr>
  </w:style>
  <w:style w:type="paragraph" w:customStyle="1" w:styleId="ssqAgendar">
    <w:name w:val="ssqAgendar"/>
    <w:basedOn w:val="ssPara1"/>
    <w:next w:val="ssPara1"/>
    <w:link w:val="ssqAgendarChar"/>
    <w:semiHidden/>
    <w:rsid w:val="00E70630"/>
    <w:pPr>
      <w:pageBreakBefore/>
      <w:numPr>
        <w:ilvl w:val="0"/>
        <w:numId w:val="1"/>
      </w:numPr>
      <w:jc w:val="center"/>
    </w:pPr>
    <w:rPr>
      <w:rFonts w:eastAsia="MingLiU" w:asciiTheme="minorHAnsi" w:hAnsiTheme="minorHAnsi"/>
      <w:b/>
      <w:caps/>
    </w:rPr>
  </w:style>
  <w:style w:type="character" w:customStyle="1" w:styleId="ssPara1Char">
    <w:name w:val="ssPara1 Char"/>
    <w:basedOn w:val="DefaultParagraphFont"/>
    <w:link w:val="ssPara1"/>
    <w:uiPriority w:val="1"/>
    <w:rsid w:val="00986198"/>
    <w:rPr>
      <w:rFonts w:eastAsiaTheme="minorHAnsi" w:cstheme="minorBidi"/>
      <w:lang w:eastAsia="en-US"/>
    </w:rPr>
  </w:style>
  <w:style w:type="character" w:customStyle="1" w:styleId="ssqListeChar">
    <w:name w:val="ssqListe Char"/>
    <w:basedOn w:val="ssPara1Char"/>
    <w:link w:val="ssqListe"/>
    <w:semiHidden/>
    <w:rsid w:val="008C2BB1"/>
    <w:rPr>
      <w:rFonts w:eastAsia="MingLiU" w:asciiTheme="minorHAnsi" w:hAnsiTheme="minorHAnsi" w:cstheme="minorBidi"/>
      <w:b/>
      <w:caps/>
      <w:lang w:eastAsia="en-US"/>
    </w:rPr>
  </w:style>
  <w:style w:type="character" w:customStyle="1" w:styleId="ssqAgendarChar">
    <w:name w:val="ssqAgendar Char"/>
    <w:basedOn w:val="ssPara1Char"/>
    <w:link w:val="ssqAgendar"/>
    <w:semiHidden/>
    <w:rsid w:val="00F54110"/>
    <w:rPr>
      <w:rFonts w:eastAsia="MingLiU" w:asciiTheme="minorHAnsi" w:hAnsiTheme="minorHAnsi" w:cstheme="minorBidi"/>
      <w:b/>
      <w:caps/>
      <w:lang w:eastAsia="en-US"/>
    </w:rPr>
  </w:style>
  <w:style w:type="paragraph" w:customStyle="1" w:styleId="ssqAllegato">
    <w:name w:val="ssqAllegato"/>
    <w:basedOn w:val="ssPara1"/>
    <w:next w:val="ssPara1"/>
    <w:link w:val="ssqAllegatoChar"/>
    <w:semiHidden/>
    <w:rsid w:val="00986198"/>
    <w:pPr>
      <w:numPr>
        <w:ilvl w:val="0"/>
        <w:numId w:val="2"/>
      </w:numPr>
      <w:jc w:val="center"/>
    </w:pPr>
    <w:rPr>
      <w:rFonts w:eastAsia="MingLiU" w:asciiTheme="minorHAnsi" w:hAnsiTheme="minorHAnsi"/>
      <w:b/>
      <w:caps/>
    </w:rPr>
  </w:style>
  <w:style w:type="character" w:customStyle="1" w:styleId="ssqAllegatoChar">
    <w:name w:val="ssqAllegato Char"/>
    <w:basedOn w:val="ssPara1Char"/>
    <w:link w:val="ssqAllegato"/>
    <w:semiHidden/>
    <w:rsid w:val="00AC09F7"/>
    <w:rPr>
      <w:rFonts w:eastAsia="MingLiU" w:asciiTheme="minorHAnsi" w:hAnsiTheme="minorHAnsi" w:cstheme="minorBidi"/>
      <w:b/>
      <w:caps/>
      <w:lang w:eastAsia="en-US"/>
    </w:rPr>
  </w:style>
  <w:style w:type="paragraph" w:customStyle="1" w:styleId="ssqAnexo">
    <w:name w:val="ssqAnexo"/>
    <w:basedOn w:val="ssPara1"/>
    <w:next w:val="ssPara1"/>
    <w:link w:val="ssqAnexoChar"/>
    <w:semiHidden/>
    <w:rsid w:val="00AC09F7"/>
    <w:pPr>
      <w:pageBreakBefore/>
      <w:numPr>
        <w:ilvl w:val="0"/>
        <w:numId w:val="3"/>
      </w:numPr>
      <w:jc w:val="center"/>
    </w:pPr>
    <w:rPr>
      <w:rFonts w:eastAsia="MingLiU" w:asciiTheme="minorHAnsi" w:hAnsiTheme="minorHAnsi"/>
      <w:b/>
      <w:caps/>
    </w:rPr>
  </w:style>
  <w:style w:type="character" w:customStyle="1" w:styleId="ssqAnexoChar">
    <w:name w:val="ssqAnexo Char"/>
    <w:basedOn w:val="ssPara1Char"/>
    <w:link w:val="ssqAnexo"/>
    <w:semiHidden/>
    <w:rsid w:val="00AC09F7"/>
    <w:rPr>
      <w:rFonts w:eastAsia="MingLiU" w:asciiTheme="minorHAnsi" w:hAnsiTheme="minorHAnsi" w:cstheme="minorBidi"/>
      <w:b/>
      <w:caps/>
      <w:lang w:eastAsia="en-US"/>
    </w:rPr>
  </w:style>
  <w:style w:type="paragraph" w:customStyle="1" w:styleId="ssqAnhang">
    <w:name w:val="ssqAnhang"/>
    <w:basedOn w:val="ssPara1"/>
    <w:next w:val="ssPara1"/>
    <w:link w:val="ssqAnhangChar"/>
    <w:semiHidden/>
    <w:rsid w:val="00A45C77"/>
    <w:pPr>
      <w:pageBreakBefore/>
      <w:numPr>
        <w:ilvl w:val="0"/>
        <w:numId w:val="4"/>
      </w:numPr>
      <w:jc w:val="center"/>
    </w:pPr>
    <w:rPr>
      <w:rFonts w:eastAsia="MingLiU" w:asciiTheme="minorHAnsi" w:hAnsiTheme="minorHAnsi"/>
      <w:b/>
      <w:caps/>
    </w:rPr>
  </w:style>
  <w:style w:type="character" w:customStyle="1" w:styleId="ssqAnhangChar">
    <w:name w:val="ssqAnhang Char"/>
    <w:basedOn w:val="ssPara1Char"/>
    <w:link w:val="ssqAnhang"/>
    <w:semiHidden/>
    <w:rsid w:val="00A45C77"/>
    <w:rPr>
      <w:rFonts w:eastAsia="MingLiU" w:asciiTheme="minorHAnsi" w:hAnsiTheme="minorHAnsi" w:cstheme="minorBidi"/>
      <w:b/>
      <w:caps/>
      <w:lang w:eastAsia="en-US"/>
    </w:rPr>
  </w:style>
  <w:style w:type="paragraph" w:customStyle="1" w:styleId="ssqAnlage">
    <w:name w:val="ssqAnlage"/>
    <w:basedOn w:val="ssPara1"/>
    <w:next w:val="ssPara1"/>
    <w:link w:val="ssqAnlageChar"/>
    <w:semiHidden/>
    <w:rsid w:val="00DC2D53"/>
    <w:pPr>
      <w:pageBreakBefore/>
      <w:numPr>
        <w:ilvl w:val="0"/>
        <w:numId w:val="53"/>
      </w:numPr>
      <w:jc w:val="center"/>
    </w:pPr>
    <w:rPr>
      <w:rFonts w:eastAsia="MingLiU" w:asciiTheme="minorHAnsi" w:hAnsiTheme="minorHAnsi"/>
      <w:b/>
      <w:caps/>
    </w:rPr>
  </w:style>
  <w:style w:type="character" w:customStyle="1" w:styleId="ssqAnlageChar">
    <w:name w:val="ssqAnlage Char"/>
    <w:basedOn w:val="ssPara1Char"/>
    <w:link w:val="ssqAnlage"/>
    <w:semiHidden/>
    <w:rsid w:val="00337688"/>
    <w:rPr>
      <w:rFonts w:eastAsia="MingLiU" w:asciiTheme="minorHAnsi" w:hAnsiTheme="minorHAnsi" w:cstheme="minorBidi"/>
      <w:b/>
      <w:caps/>
      <w:lang w:eastAsia="en-US"/>
    </w:rPr>
  </w:style>
  <w:style w:type="paragraph" w:customStyle="1" w:styleId="ssqAnnex">
    <w:name w:val="ssqAnnex"/>
    <w:basedOn w:val="ssUserEntry"/>
    <w:next w:val="ssPara1"/>
    <w:link w:val="ssqAnnexChar"/>
    <w:rsid w:val="00414E53"/>
    <w:pPr>
      <w:pageBreakBefore/>
      <w:numPr>
        <w:ilvl w:val="1"/>
        <w:numId w:val="55"/>
      </w:numPr>
      <w:spacing w:after="260"/>
      <w:jc w:val="center"/>
    </w:pPr>
    <w:rPr>
      <w:b/>
      <w:caps/>
      <w:lang w:val="fr-FR"/>
    </w:rPr>
  </w:style>
  <w:style w:type="character" w:customStyle="1" w:styleId="ssqAnnexChar">
    <w:name w:val="ssqAnnex Char"/>
    <w:basedOn w:val="DefaultParagraphFont"/>
    <w:link w:val="ssqAnnex"/>
    <w:rsid w:val="00414E53"/>
    <w:rPr>
      <w:rFonts w:eastAsia="MingLiU" w:asciiTheme="minorHAnsi" w:hAnsiTheme="minorHAnsi"/>
      <w:b/>
      <w:caps/>
      <w:lang w:val="fr-FR" w:eastAsia="ja-JP"/>
    </w:rPr>
  </w:style>
  <w:style w:type="character" w:customStyle="1" w:styleId="ssqAnnexeChar">
    <w:name w:val="ssqAnnexe Char"/>
    <w:basedOn w:val="DefaultParagraphFont"/>
    <w:link w:val="ssqAnnexe"/>
    <w:semiHidden/>
    <w:rsid w:val="00055CCF"/>
    <w:rPr>
      <w:rFonts w:eastAsia="MingLiU" w:asciiTheme="minorHAnsi" w:hAnsiTheme="minorHAnsi"/>
      <w:b/>
      <w:caps/>
    </w:rPr>
  </w:style>
  <w:style w:type="paragraph" w:customStyle="1" w:styleId="ssqApndice">
    <w:name w:val="ssqApéndice"/>
    <w:basedOn w:val="ssPara1"/>
    <w:next w:val="ssPara1"/>
    <w:link w:val="ssqApndiceChar"/>
    <w:semiHidden/>
    <w:rsid w:val="00055CCF"/>
    <w:pPr>
      <w:pageBreakBefore/>
      <w:numPr>
        <w:ilvl w:val="0"/>
        <w:numId w:val="6"/>
      </w:numPr>
      <w:jc w:val="center"/>
    </w:pPr>
    <w:rPr>
      <w:rFonts w:eastAsia="MingLiU" w:asciiTheme="minorHAnsi" w:hAnsiTheme="minorHAnsi"/>
      <w:b/>
      <w:caps/>
    </w:rPr>
  </w:style>
  <w:style w:type="character" w:customStyle="1" w:styleId="ssqApndiceChar">
    <w:name w:val="ssqApéndice Char"/>
    <w:basedOn w:val="ssPara1Char"/>
    <w:link w:val="ssqApndice"/>
    <w:semiHidden/>
    <w:rsid w:val="00055CCF"/>
    <w:rPr>
      <w:rFonts w:eastAsia="MingLiU" w:asciiTheme="minorHAnsi" w:hAnsiTheme="minorHAnsi" w:cstheme="minorBidi"/>
      <w:b/>
      <w:caps/>
      <w:lang w:eastAsia="en-US"/>
    </w:rPr>
  </w:style>
  <w:style w:type="paragraph" w:customStyle="1" w:styleId="ssqAppendice">
    <w:name w:val="ssqAppendice"/>
    <w:basedOn w:val="ssPara1"/>
    <w:next w:val="ssPara1"/>
    <w:link w:val="ssqAppendiceChar"/>
    <w:semiHidden/>
    <w:rsid w:val="00055CCF"/>
    <w:pPr>
      <w:pageBreakBefore/>
      <w:numPr>
        <w:ilvl w:val="0"/>
        <w:numId w:val="7"/>
      </w:numPr>
      <w:jc w:val="center"/>
    </w:pPr>
    <w:rPr>
      <w:rFonts w:eastAsia="MingLiU" w:asciiTheme="minorHAnsi" w:hAnsiTheme="minorHAnsi"/>
      <w:b/>
      <w:caps/>
    </w:rPr>
  </w:style>
  <w:style w:type="character" w:customStyle="1" w:styleId="ssqAppendiceChar">
    <w:name w:val="ssqAppendice Char"/>
    <w:basedOn w:val="ssPara1Char"/>
    <w:link w:val="ssqAppendice"/>
    <w:semiHidden/>
    <w:rsid w:val="00055CCF"/>
    <w:rPr>
      <w:rFonts w:eastAsia="MingLiU" w:asciiTheme="minorHAnsi" w:hAnsiTheme="minorHAnsi" w:cstheme="minorBidi"/>
      <w:b/>
      <w:caps/>
      <w:lang w:eastAsia="en-US"/>
    </w:rPr>
  </w:style>
  <w:style w:type="paragraph" w:customStyle="1" w:styleId="ssqApresentar">
    <w:name w:val="ssqApresentar"/>
    <w:basedOn w:val="ssPara1"/>
    <w:next w:val="ssPara1"/>
    <w:link w:val="ssqApresentarChar"/>
    <w:semiHidden/>
    <w:rsid w:val="00055CCF"/>
    <w:pPr>
      <w:pageBreakBefore/>
      <w:numPr>
        <w:ilvl w:val="0"/>
        <w:numId w:val="8"/>
      </w:numPr>
      <w:jc w:val="center"/>
    </w:pPr>
    <w:rPr>
      <w:rFonts w:eastAsia="MingLiU" w:asciiTheme="minorHAnsi" w:hAnsiTheme="minorHAnsi"/>
      <w:b/>
      <w:caps/>
    </w:rPr>
  </w:style>
  <w:style w:type="character" w:customStyle="1" w:styleId="ssqApresentarChar">
    <w:name w:val="ssqApresentar Char"/>
    <w:basedOn w:val="ssPara1Char"/>
    <w:link w:val="ssqApresentar"/>
    <w:semiHidden/>
    <w:rsid w:val="00055CCF"/>
    <w:rPr>
      <w:rFonts w:eastAsia="MingLiU" w:asciiTheme="minorHAnsi" w:hAnsiTheme="minorHAnsi" w:cstheme="minorBidi"/>
      <w:b/>
      <w:caps/>
      <w:lang w:eastAsia="en-US"/>
    </w:rPr>
  </w:style>
  <w:style w:type="paragraph" w:customStyle="1" w:styleId="ssqCalendario">
    <w:name w:val="ssqCalendario"/>
    <w:basedOn w:val="ssPara1"/>
    <w:next w:val="ssPara1"/>
    <w:link w:val="ssqCalendarioChar"/>
    <w:semiHidden/>
    <w:rsid w:val="00055CCF"/>
    <w:pPr>
      <w:pageBreakBefore/>
      <w:numPr>
        <w:ilvl w:val="0"/>
        <w:numId w:val="9"/>
      </w:numPr>
      <w:jc w:val="center"/>
    </w:pPr>
    <w:rPr>
      <w:rFonts w:eastAsia="MingLiU" w:asciiTheme="minorHAnsi" w:hAnsiTheme="minorHAnsi"/>
      <w:b/>
      <w:caps/>
    </w:rPr>
  </w:style>
  <w:style w:type="character" w:customStyle="1" w:styleId="ssqCalendarioChar">
    <w:name w:val="ssqCalendario Char"/>
    <w:basedOn w:val="ssPara1Char"/>
    <w:link w:val="ssqCalendario"/>
    <w:semiHidden/>
    <w:rsid w:val="00697DE7"/>
    <w:rPr>
      <w:rFonts w:eastAsia="MingLiU" w:asciiTheme="minorHAnsi" w:hAnsiTheme="minorHAnsi" w:cstheme="minorBidi"/>
      <w:b/>
      <w:caps/>
      <w:lang w:eastAsia="en-US"/>
    </w:rPr>
  </w:style>
  <w:style w:type="paragraph" w:customStyle="1" w:styleId="ssqExibir">
    <w:name w:val="ssqExibir"/>
    <w:basedOn w:val="ssPara1"/>
    <w:next w:val="ssPara1"/>
    <w:link w:val="ssqExibirChar"/>
    <w:semiHidden/>
    <w:rsid w:val="00697DE7"/>
    <w:pPr>
      <w:pageBreakBefore/>
      <w:numPr>
        <w:ilvl w:val="0"/>
        <w:numId w:val="10"/>
      </w:numPr>
      <w:jc w:val="center"/>
    </w:pPr>
    <w:rPr>
      <w:rFonts w:eastAsia="MingLiU" w:asciiTheme="minorHAnsi" w:hAnsiTheme="minorHAnsi"/>
      <w:b/>
      <w:caps/>
    </w:rPr>
  </w:style>
  <w:style w:type="character" w:customStyle="1" w:styleId="ssqExibirChar">
    <w:name w:val="ssqExibir Char"/>
    <w:basedOn w:val="ssPara1Char"/>
    <w:link w:val="ssqExibir"/>
    <w:semiHidden/>
    <w:rsid w:val="00697DE7"/>
    <w:rPr>
      <w:rFonts w:eastAsia="MingLiU" w:asciiTheme="minorHAnsi" w:hAnsiTheme="minorHAnsi" w:cstheme="minorBidi"/>
      <w:b/>
      <w:caps/>
      <w:lang w:eastAsia="en-US"/>
    </w:rPr>
  </w:style>
  <w:style w:type="paragraph" w:customStyle="1" w:styleId="ssqExposicin">
    <w:name w:val="ssqExposición"/>
    <w:basedOn w:val="ssqScheda"/>
    <w:next w:val="ssPara1"/>
    <w:link w:val="ssqExposicinChar"/>
    <w:rsid w:val="00414E53"/>
    <w:pPr>
      <w:numPr>
        <w:numId w:val="56"/>
      </w:numPr>
    </w:pPr>
  </w:style>
  <w:style w:type="character" w:customStyle="1" w:styleId="ssqExposicinChar">
    <w:name w:val="ssqExposición Char"/>
    <w:basedOn w:val="ssqSchedaChar"/>
    <w:link w:val="ssqExposicin"/>
    <w:rsid w:val="00414E53"/>
    <w:rPr>
      <w:rFonts w:eastAsia="MingLiU" w:asciiTheme="minorHAnsi" w:hAnsiTheme="minorHAnsi"/>
      <w:b/>
      <w:caps/>
      <w:lang w:val="fr-FR" w:eastAsia="ja-JP"/>
    </w:rPr>
  </w:style>
  <w:style w:type="paragraph" w:customStyle="1" w:styleId="ssqMarcao">
    <w:name w:val="ssqMarcação"/>
    <w:basedOn w:val="ssPara1"/>
    <w:next w:val="ssPara1"/>
    <w:link w:val="ssqMarcaoChar"/>
    <w:semiHidden/>
    <w:rsid w:val="00995C4D"/>
    <w:pPr>
      <w:pageBreakBefore/>
      <w:numPr>
        <w:ilvl w:val="0"/>
        <w:numId w:val="12"/>
      </w:numPr>
      <w:jc w:val="center"/>
    </w:pPr>
    <w:rPr>
      <w:rFonts w:eastAsia="MingLiU" w:asciiTheme="minorHAnsi" w:hAnsiTheme="minorHAnsi"/>
      <w:b/>
      <w:caps/>
    </w:rPr>
  </w:style>
  <w:style w:type="character" w:customStyle="1" w:styleId="ssqMarcaoChar">
    <w:name w:val="ssqMarcação Char"/>
    <w:basedOn w:val="ssPara1Char"/>
    <w:link w:val="ssqMarcao"/>
    <w:semiHidden/>
    <w:rsid w:val="00E81520"/>
    <w:rPr>
      <w:rFonts w:eastAsia="MingLiU" w:asciiTheme="minorHAnsi" w:hAnsiTheme="minorHAnsi" w:cstheme="minorBidi"/>
      <w:b/>
      <w:caps/>
      <w:lang w:eastAsia="en-US"/>
    </w:rPr>
  </w:style>
  <w:style w:type="paragraph" w:customStyle="1" w:styleId="ssqMarcar">
    <w:name w:val="ssqMarcar"/>
    <w:basedOn w:val="ssPara1"/>
    <w:next w:val="ssPara1"/>
    <w:link w:val="ssqMarcarChar"/>
    <w:semiHidden/>
    <w:rsid w:val="00E81520"/>
    <w:pPr>
      <w:pageBreakBefore/>
      <w:numPr>
        <w:ilvl w:val="0"/>
        <w:numId w:val="13"/>
      </w:numPr>
      <w:jc w:val="center"/>
    </w:pPr>
    <w:rPr>
      <w:rFonts w:eastAsia="MingLiU" w:asciiTheme="minorHAnsi" w:hAnsiTheme="minorHAnsi"/>
      <w:b/>
      <w:caps/>
    </w:rPr>
  </w:style>
  <w:style w:type="character" w:customStyle="1" w:styleId="ssqMarcarChar">
    <w:name w:val="ssqMarcar Char"/>
    <w:basedOn w:val="ssPara1Char"/>
    <w:link w:val="ssqMarcar"/>
    <w:semiHidden/>
    <w:rsid w:val="00E81520"/>
    <w:rPr>
      <w:rFonts w:eastAsia="MingLiU" w:asciiTheme="minorHAnsi" w:hAnsiTheme="minorHAnsi" w:cstheme="minorBidi"/>
      <w:b/>
      <w:caps/>
      <w:lang w:eastAsia="en-US"/>
    </w:rPr>
  </w:style>
  <w:style w:type="paragraph" w:customStyle="1" w:styleId="ssqMostrar">
    <w:name w:val="ssqMostrar"/>
    <w:basedOn w:val="ssPara1"/>
    <w:next w:val="ssPara1"/>
    <w:link w:val="ssqMostrarChar"/>
    <w:semiHidden/>
    <w:rsid w:val="00E81520"/>
    <w:pPr>
      <w:pageBreakBefore/>
      <w:numPr>
        <w:ilvl w:val="0"/>
        <w:numId w:val="14"/>
      </w:numPr>
      <w:jc w:val="center"/>
    </w:pPr>
    <w:rPr>
      <w:rFonts w:eastAsia="MingLiU" w:asciiTheme="minorHAnsi" w:hAnsiTheme="minorHAnsi"/>
      <w:b/>
      <w:caps/>
    </w:rPr>
  </w:style>
  <w:style w:type="character" w:customStyle="1" w:styleId="ssqMostrarChar">
    <w:name w:val="ssqMostrar Char"/>
    <w:basedOn w:val="ssPara1Char"/>
    <w:link w:val="ssqMostrar"/>
    <w:semiHidden/>
    <w:rsid w:val="001D5F32"/>
    <w:rPr>
      <w:rFonts w:eastAsia="MingLiU" w:asciiTheme="minorHAnsi" w:hAnsiTheme="minorHAnsi" w:cstheme="minorBidi"/>
      <w:b/>
      <w:caps/>
      <w:lang w:eastAsia="en-US"/>
    </w:rPr>
  </w:style>
  <w:style w:type="paragraph" w:customStyle="1" w:styleId="ssqParte">
    <w:name w:val="ssqParte"/>
    <w:basedOn w:val="ssPara1"/>
    <w:next w:val="ssPara1"/>
    <w:link w:val="ssqParteChar"/>
    <w:semiHidden/>
    <w:rsid w:val="00986198"/>
    <w:pPr>
      <w:numPr>
        <w:ilvl w:val="0"/>
        <w:numId w:val="15"/>
      </w:numPr>
      <w:jc w:val="center"/>
    </w:pPr>
    <w:rPr>
      <w:rFonts w:eastAsia="MingLiU" w:asciiTheme="minorHAnsi" w:hAnsiTheme="minorHAnsi"/>
      <w:b/>
      <w:caps/>
    </w:rPr>
  </w:style>
  <w:style w:type="character" w:customStyle="1" w:styleId="ssqParteChar">
    <w:name w:val="ssqParte Char"/>
    <w:basedOn w:val="ssPara1Char"/>
    <w:link w:val="ssqParte"/>
    <w:semiHidden/>
    <w:rsid w:val="00F54110"/>
    <w:rPr>
      <w:rFonts w:eastAsia="MingLiU" w:asciiTheme="minorHAnsi" w:hAnsiTheme="minorHAnsi" w:cstheme="minorBidi"/>
      <w:b/>
      <w:caps/>
      <w:lang w:eastAsia="en-US"/>
    </w:rPr>
  </w:style>
  <w:style w:type="paragraph" w:customStyle="1" w:styleId="ssqPartie">
    <w:name w:val="ssqPartie"/>
    <w:basedOn w:val="ssPara1"/>
    <w:next w:val="ssPara1"/>
    <w:link w:val="ssqPartieChar"/>
    <w:semiHidden/>
    <w:rsid w:val="00986198"/>
    <w:pPr>
      <w:numPr>
        <w:ilvl w:val="0"/>
        <w:numId w:val="16"/>
      </w:numPr>
      <w:jc w:val="center"/>
    </w:pPr>
    <w:rPr>
      <w:rFonts w:eastAsia="MingLiU" w:asciiTheme="minorHAnsi" w:hAnsiTheme="minorHAnsi"/>
      <w:b/>
      <w:caps/>
    </w:rPr>
  </w:style>
  <w:style w:type="character" w:customStyle="1" w:styleId="ssqPartieChar">
    <w:name w:val="ssqPartie Char"/>
    <w:basedOn w:val="ssPara1Char"/>
    <w:link w:val="ssqPartie"/>
    <w:semiHidden/>
    <w:rsid w:val="00F54110"/>
    <w:rPr>
      <w:rFonts w:eastAsia="MingLiU" w:asciiTheme="minorHAnsi" w:hAnsiTheme="minorHAnsi" w:cstheme="minorBidi"/>
      <w:b/>
      <w:caps/>
      <w:lang w:eastAsia="en-US"/>
    </w:rPr>
  </w:style>
  <w:style w:type="paragraph" w:customStyle="1" w:styleId="ssqPrograma">
    <w:name w:val="ssqPrograma"/>
    <w:basedOn w:val="ssPara1"/>
    <w:next w:val="ssPara1"/>
    <w:link w:val="ssqProgramaChar"/>
    <w:semiHidden/>
    <w:rsid w:val="00532F3A"/>
    <w:pPr>
      <w:pageBreakBefore/>
      <w:numPr>
        <w:ilvl w:val="0"/>
        <w:numId w:val="17"/>
      </w:numPr>
      <w:jc w:val="center"/>
    </w:pPr>
    <w:rPr>
      <w:rFonts w:eastAsia="MingLiU" w:asciiTheme="minorHAnsi" w:hAnsiTheme="minorHAnsi"/>
      <w:b/>
      <w:caps/>
    </w:rPr>
  </w:style>
  <w:style w:type="character" w:customStyle="1" w:styleId="ssqProgramaChar">
    <w:name w:val="ssqPrograma Char"/>
    <w:basedOn w:val="ssPara1Char"/>
    <w:link w:val="ssqPrograma"/>
    <w:semiHidden/>
    <w:rsid w:val="00532F3A"/>
    <w:rPr>
      <w:rFonts w:eastAsia="MingLiU" w:asciiTheme="minorHAnsi" w:hAnsiTheme="minorHAnsi" w:cstheme="minorBidi"/>
      <w:b/>
      <w:caps/>
      <w:lang w:eastAsia="en-US"/>
    </w:rPr>
  </w:style>
  <w:style w:type="paragraph" w:customStyle="1" w:styleId="ssqScheda">
    <w:name w:val="ssqScheda"/>
    <w:basedOn w:val="ssqAnnex"/>
    <w:next w:val="ssPara1"/>
    <w:link w:val="ssqSchedaChar"/>
    <w:rsid w:val="00414E53"/>
    <w:pPr>
      <w:numPr>
        <w:numId w:val="57"/>
      </w:numPr>
    </w:pPr>
  </w:style>
  <w:style w:type="character" w:customStyle="1" w:styleId="ssqSchedaChar">
    <w:name w:val="ssqScheda Char"/>
    <w:basedOn w:val="ssqAnnexChar"/>
    <w:link w:val="ssqScheda"/>
    <w:rsid w:val="00414E53"/>
    <w:rPr>
      <w:rFonts w:eastAsia="MingLiU" w:asciiTheme="minorHAnsi" w:hAnsiTheme="minorHAnsi"/>
      <w:b/>
      <w:caps/>
      <w:lang w:val="fr-FR" w:eastAsia="ja-JP"/>
    </w:rPr>
  </w:style>
  <w:style w:type="paragraph" w:customStyle="1" w:styleId="ssqSeccin">
    <w:name w:val="ssqSección"/>
    <w:basedOn w:val="ssPara1"/>
    <w:next w:val="ssPara1"/>
    <w:link w:val="ssqSeccinChar"/>
    <w:semiHidden/>
    <w:rsid w:val="00CB65CA"/>
    <w:pPr>
      <w:pageBreakBefore/>
      <w:numPr>
        <w:ilvl w:val="0"/>
        <w:numId w:val="18"/>
      </w:numPr>
      <w:jc w:val="center"/>
    </w:pPr>
    <w:rPr>
      <w:rFonts w:eastAsia="MingLiU" w:asciiTheme="minorHAnsi" w:hAnsiTheme="minorHAnsi"/>
      <w:b/>
      <w:caps/>
    </w:rPr>
  </w:style>
  <w:style w:type="character" w:customStyle="1" w:styleId="ssqSeccinChar">
    <w:name w:val="ssqSección Char"/>
    <w:basedOn w:val="ssPara1Char"/>
    <w:link w:val="ssqSeccin"/>
    <w:semiHidden/>
    <w:rsid w:val="00CB65CA"/>
    <w:rPr>
      <w:rFonts w:eastAsia="MingLiU" w:asciiTheme="minorHAnsi" w:hAnsiTheme="minorHAnsi" w:cstheme="minorBidi"/>
      <w:b/>
      <w:caps/>
      <w:lang w:eastAsia="en-US"/>
    </w:rPr>
  </w:style>
  <w:style w:type="paragraph" w:customStyle="1" w:styleId="ssqTeil">
    <w:name w:val="ssqTeil"/>
    <w:basedOn w:val="ssPara1"/>
    <w:next w:val="ssPara1"/>
    <w:link w:val="ssqTeilChar"/>
    <w:semiHidden/>
    <w:rsid w:val="00986198"/>
    <w:pPr>
      <w:numPr>
        <w:ilvl w:val="0"/>
        <w:numId w:val="19"/>
      </w:numPr>
      <w:jc w:val="center"/>
    </w:pPr>
    <w:rPr>
      <w:rFonts w:eastAsia="MingLiU" w:asciiTheme="minorHAnsi" w:hAnsiTheme="minorHAnsi"/>
      <w:b/>
      <w:caps/>
    </w:rPr>
  </w:style>
  <w:style w:type="character" w:customStyle="1" w:styleId="ssqTeilChar">
    <w:name w:val="ssqTeil Char"/>
    <w:basedOn w:val="ssPara1Char"/>
    <w:link w:val="ssqTeil"/>
    <w:semiHidden/>
    <w:rsid w:val="00532F3A"/>
    <w:rPr>
      <w:rFonts w:eastAsia="MingLiU" w:asciiTheme="minorHAnsi" w:hAnsiTheme="minorHAnsi" w:cstheme="minorBidi"/>
      <w:b/>
      <w:caps/>
      <w:lang w:eastAsia="en-US"/>
    </w:rPr>
  </w:style>
  <w:style w:type="paragraph" w:customStyle="1" w:styleId="ssqBewijsstuk">
    <w:name w:val="ssqBewijsstuk"/>
    <w:basedOn w:val="Normal"/>
    <w:next w:val="ssPara1"/>
    <w:link w:val="ssqBewijsstukChar"/>
    <w:semiHidden/>
    <w:rsid w:val="00670731"/>
    <w:pPr>
      <w:pageBreakBefore/>
      <w:numPr>
        <w:numId w:val="20"/>
      </w:numPr>
      <w:spacing w:after="260"/>
      <w:jc w:val="center"/>
    </w:pPr>
    <w:rPr>
      <w:rFonts w:eastAsia="SimSun" w:asciiTheme="minorHAnsi" w:hAnsiTheme="minorHAnsi" w:cs="Times New Roman"/>
      <w:b/>
      <w:caps/>
      <w:lang w:eastAsia="en-GB"/>
    </w:rPr>
  </w:style>
  <w:style w:type="character" w:customStyle="1" w:styleId="ssqBewijsstukChar">
    <w:name w:val="ssqBewijsstuk Char"/>
    <w:basedOn w:val="DefaultParagraphFont"/>
    <w:link w:val="ssqBewijsstuk"/>
    <w:semiHidden/>
    <w:rsid w:val="00670731"/>
    <w:rPr>
      <w:rFonts w:eastAsia="SimSun" w:asciiTheme="minorHAnsi" w:hAnsiTheme="minorHAnsi"/>
      <w:b/>
      <w:caps/>
    </w:rPr>
  </w:style>
  <w:style w:type="paragraph" w:customStyle="1" w:styleId="ssqBijlage">
    <w:name w:val="ssqBijlage"/>
    <w:basedOn w:val="Normal"/>
    <w:next w:val="ssPara1"/>
    <w:link w:val="ssqBijlageChar"/>
    <w:semiHidden/>
    <w:rsid w:val="00670731"/>
    <w:pPr>
      <w:pageBreakBefore/>
      <w:numPr>
        <w:numId w:val="21"/>
      </w:numPr>
      <w:spacing w:after="260"/>
      <w:jc w:val="center"/>
    </w:pPr>
    <w:rPr>
      <w:rFonts w:eastAsia="SimSun" w:asciiTheme="minorHAnsi" w:hAnsiTheme="minorHAnsi" w:cs="Times New Roman"/>
      <w:b/>
      <w:caps/>
      <w:lang w:eastAsia="en-GB"/>
    </w:rPr>
  </w:style>
  <w:style w:type="character" w:customStyle="1" w:styleId="ssqBijlageChar">
    <w:name w:val="ssqBijlage Char"/>
    <w:basedOn w:val="DefaultParagraphFont"/>
    <w:link w:val="ssqBijlage"/>
    <w:semiHidden/>
    <w:rsid w:val="00670731"/>
    <w:rPr>
      <w:rFonts w:eastAsia="SimSun" w:asciiTheme="minorHAnsi" w:hAnsiTheme="minorHAnsi"/>
      <w:b/>
      <w:caps/>
    </w:rPr>
  </w:style>
  <w:style w:type="paragraph" w:customStyle="1" w:styleId="ssqDeel">
    <w:name w:val="ssqDeel"/>
    <w:basedOn w:val="Normal"/>
    <w:next w:val="ssPara1"/>
    <w:link w:val="ssqDeelChar"/>
    <w:semiHidden/>
    <w:rsid w:val="00670731"/>
    <w:pPr>
      <w:pageBreakBefore/>
      <w:numPr>
        <w:numId w:val="22"/>
      </w:numPr>
      <w:spacing w:after="260"/>
      <w:jc w:val="center"/>
    </w:pPr>
    <w:rPr>
      <w:rFonts w:eastAsia="SimSun" w:asciiTheme="minorHAnsi" w:hAnsiTheme="minorHAnsi" w:cs="Times New Roman"/>
      <w:b/>
      <w:caps/>
      <w:lang w:eastAsia="en-GB"/>
    </w:rPr>
  </w:style>
  <w:style w:type="character" w:customStyle="1" w:styleId="ssqDeelChar">
    <w:name w:val="ssqDeel Char"/>
    <w:basedOn w:val="DefaultParagraphFont"/>
    <w:link w:val="ssqDeel"/>
    <w:semiHidden/>
    <w:rsid w:val="00670731"/>
    <w:rPr>
      <w:rFonts w:eastAsia="SimSun" w:asciiTheme="minorHAnsi" w:hAnsiTheme="minorHAnsi"/>
      <w:b/>
      <w:caps/>
    </w:rPr>
  </w:style>
  <w:style w:type="paragraph" w:customStyle="1" w:styleId="ssqProductie">
    <w:name w:val="ssqProductie"/>
    <w:basedOn w:val="Normal"/>
    <w:next w:val="ssPara1"/>
    <w:link w:val="ssqProductieChar"/>
    <w:semiHidden/>
    <w:rsid w:val="00670731"/>
    <w:pPr>
      <w:pageBreakBefore/>
      <w:numPr>
        <w:numId w:val="23"/>
      </w:numPr>
      <w:spacing w:after="260"/>
      <w:jc w:val="center"/>
    </w:pPr>
    <w:rPr>
      <w:rFonts w:eastAsia="SimSun" w:asciiTheme="minorHAnsi" w:hAnsiTheme="minorHAnsi" w:cs="Times New Roman"/>
      <w:b/>
      <w:caps/>
      <w:lang w:eastAsia="en-GB"/>
    </w:rPr>
  </w:style>
  <w:style w:type="character" w:customStyle="1" w:styleId="ssqProductieChar">
    <w:name w:val="ssqProductie Char"/>
    <w:basedOn w:val="DefaultParagraphFont"/>
    <w:link w:val="ssqProductie"/>
    <w:semiHidden/>
    <w:rsid w:val="00670731"/>
    <w:rPr>
      <w:rFonts w:eastAsia="SimSun" w:asciiTheme="minorHAnsi" w:hAnsiTheme="minorHAnsi"/>
      <w:b/>
      <w:caps/>
    </w:rPr>
  </w:style>
  <w:style w:type="paragraph" w:customStyle="1" w:styleId="ssqSchema">
    <w:name w:val="ssqSchema"/>
    <w:basedOn w:val="Normal"/>
    <w:next w:val="ssPara1"/>
    <w:link w:val="ssqSchemaChar"/>
    <w:semiHidden/>
    <w:rsid w:val="00670731"/>
    <w:pPr>
      <w:pageBreakBefore/>
      <w:numPr>
        <w:numId w:val="24"/>
      </w:numPr>
      <w:spacing w:after="260"/>
      <w:jc w:val="center"/>
    </w:pPr>
    <w:rPr>
      <w:rFonts w:eastAsia="SimSun" w:asciiTheme="minorHAnsi" w:hAnsiTheme="minorHAnsi" w:cs="Times New Roman"/>
      <w:b/>
      <w:caps/>
      <w:lang w:eastAsia="en-GB"/>
    </w:rPr>
  </w:style>
  <w:style w:type="character" w:customStyle="1" w:styleId="ssqSchemaChar">
    <w:name w:val="ssqSchema Char"/>
    <w:basedOn w:val="DefaultParagraphFont"/>
    <w:link w:val="ssqSchema"/>
    <w:semiHidden/>
    <w:rsid w:val="00670731"/>
    <w:rPr>
      <w:rFonts w:eastAsia="SimSun" w:asciiTheme="minorHAnsi" w:hAnsiTheme="minorHAnsi"/>
      <w:b/>
      <w:caps/>
    </w:rPr>
  </w:style>
  <w:style w:type="paragraph" w:customStyle="1" w:styleId="ssq">
    <w:name w:val="ssqالجدول"/>
    <w:basedOn w:val="ssPara1"/>
    <w:next w:val="ssPara1"/>
    <w:link w:val="ssqChar"/>
    <w:semiHidden/>
    <w:rsid w:val="00670731"/>
    <w:pPr>
      <w:pageBreakBefore/>
      <w:numPr>
        <w:ilvl w:val="0"/>
        <w:numId w:val="25"/>
      </w:numPr>
      <w:jc w:val="center"/>
    </w:pPr>
    <w:rPr>
      <w:rFonts w:eastAsia="SimSun" w:asciiTheme="minorHAnsi" w:hAnsiTheme="minorHAnsi"/>
      <w:b/>
      <w:caps/>
    </w:rPr>
  </w:style>
  <w:style w:type="character" w:customStyle="1" w:styleId="ssqChar">
    <w:name w:val="ssqالجدول Char"/>
    <w:basedOn w:val="ssPara1Char"/>
    <w:link w:val="ssq"/>
    <w:semiHidden/>
    <w:rsid w:val="00670731"/>
    <w:rPr>
      <w:rFonts w:eastAsia="SimSun" w:asciiTheme="minorHAnsi" w:hAnsiTheme="minorHAnsi" w:cstheme="minorBidi"/>
      <w:b/>
      <w:caps/>
      <w:lang w:eastAsia="en-US"/>
    </w:rPr>
  </w:style>
  <w:style w:type="paragraph" w:customStyle="1" w:styleId="ssq0">
    <w:name w:val="ssqالمرفق"/>
    <w:basedOn w:val="ssPara1"/>
    <w:next w:val="ssPara1"/>
    <w:link w:val="ssqChar0"/>
    <w:semiHidden/>
    <w:rsid w:val="00670731"/>
    <w:pPr>
      <w:pageBreakBefore/>
      <w:numPr>
        <w:ilvl w:val="0"/>
        <w:numId w:val="26"/>
      </w:numPr>
      <w:jc w:val="center"/>
    </w:pPr>
    <w:rPr>
      <w:rFonts w:eastAsia="SimSun" w:asciiTheme="minorHAnsi" w:hAnsiTheme="minorHAnsi"/>
      <w:b/>
      <w:caps/>
    </w:rPr>
  </w:style>
  <w:style w:type="character" w:customStyle="1" w:styleId="ssqChar0">
    <w:name w:val="ssqالمرفق Char"/>
    <w:basedOn w:val="ssPara1Char"/>
    <w:link w:val="ssq0"/>
    <w:semiHidden/>
    <w:rsid w:val="00670731"/>
    <w:rPr>
      <w:rFonts w:eastAsia="SimSun" w:asciiTheme="minorHAnsi" w:hAnsiTheme="minorHAnsi" w:cstheme="minorBidi"/>
      <w:b/>
      <w:caps/>
      <w:lang w:eastAsia="en-US"/>
    </w:rPr>
  </w:style>
  <w:style w:type="paragraph" w:customStyle="1" w:styleId="ssq1">
    <w:name w:val="ssqالملحق"/>
    <w:basedOn w:val="ssPara1"/>
    <w:next w:val="ssPara1"/>
    <w:link w:val="ssqChar1"/>
    <w:semiHidden/>
    <w:rsid w:val="00670731"/>
    <w:pPr>
      <w:pageBreakBefore/>
      <w:numPr>
        <w:ilvl w:val="0"/>
        <w:numId w:val="27"/>
      </w:numPr>
      <w:jc w:val="center"/>
    </w:pPr>
    <w:rPr>
      <w:rFonts w:eastAsia="SimSun" w:asciiTheme="minorHAnsi" w:hAnsiTheme="minorHAnsi"/>
      <w:b/>
      <w:caps/>
    </w:rPr>
  </w:style>
  <w:style w:type="character" w:customStyle="1" w:styleId="ssqChar1">
    <w:name w:val="ssqالملحق Char"/>
    <w:basedOn w:val="ssPara1Char"/>
    <w:link w:val="ssq1"/>
    <w:semiHidden/>
    <w:rsid w:val="00670731"/>
    <w:rPr>
      <w:rFonts w:eastAsia="SimSun" w:asciiTheme="minorHAnsi" w:hAnsiTheme="minorHAnsi" w:cstheme="minorBidi"/>
      <w:b/>
      <w:caps/>
      <w:lang w:eastAsia="en-US"/>
    </w:rPr>
  </w:style>
  <w:style w:type="paragraph" w:customStyle="1" w:styleId="ssq2">
    <w:name w:val="ssqجدول"/>
    <w:basedOn w:val="ssPara1"/>
    <w:next w:val="ssPara1"/>
    <w:link w:val="ssqChar2"/>
    <w:semiHidden/>
    <w:rsid w:val="00670731"/>
    <w:pPr>
      <w:pageBreakBefore/>
      <w:numPr>
        <w:ilvl w:val="0"/>
        <w:numId w:val="28"/>
      </w:numPr>
      <w:jc w:val="center"/>
    </w:pPr>
    <w:rPr>
      <w:rFonts w:eastAsia="SimSun" w:asciiTheme="minorHAnsi" w:hAnsiTheme="minorHAnsi"/>
      <w:b/>
      <w:caps/>
    </w:rPr>
  </w:style>
  <w:style w:type="character" w:customStyle="1" w:styleId="ssqChar2">
    <w:name w:val="ssqجدول Char"/>
    <w:basedOn w:val="ssPara1Char"/>
    <w:link w:val="ssq2"/>
    <w:semiHidden/>
    <w:rsid w:val="00670731"/>
    <w:rPr>
      <w:rFonts w:eastAsia="SimSun" w:asciiTheme="minorHAnsi" w:hAnsiTheme="minorHAnsi" w:cstheme="minorBidi"/>
      <w:b/>
      <w:caps/>
      <w:lang w:eastAsia="en-US"/>
    </w:rPr>
  </w:style>
  <w:style w:type="paragraph" w:customStyle="1" w:styleId="ssq3">
    <w:name w:val="ssqقسم"/>
    <w:basedOn w:val="Normal"/>
    <w:next w:val="ssPara1"/>
    <w:link w:val="ssqChar3"/>
    <w:semiHidden/>
    <w:rsid w:val="00670731"/>
    <w:pPr>
      <w:pageBreakBefore/>
      <w:numPr>
        <w:numId w:val="29"/>
      </w:numPr>
      <w:spacing w:after="260"/>
      <w:jc w:val="center"/>
    </w:pPr>
    <w:rPr>
      <w:rFonts w:eastAsia="SimSun" w:asciiTheme="minorHAnsi" w:hAnsiTheme="minorHAnsi" w:cs="Times New Roman"/>
      <w:b/>
      <w:caps/>
      <w:lang w:eastAsia="en-GB"/>
    </w:rPr>
  </w:style>
  <w:style w:type="character" w:customStyle="1" w:styleId="ssqChar3">
    <w:name w:val="ssqقسم Char"/>
    <w:basedOn w:val="DefaultParagraphFont"/>
    <w:link w:val="ssq3"/>
    <w:semiHidden/>
    <w:rsid w:val="00670731"/>
    <w:rPr>
      <w:rFonts w:eastAsia="SimSun" w:asciiTheme="minorHAnsi" w:hAnsiTheme="minorHAnsi"/>
      <w:b/>
      <w:caps/>
    </w:rPr>
  </w:style>
  <w:style w:type="paragraph" w:customStyle="1" w:styleId="ssq4">
    <w:name w:val="ssqمبرز"/>
    <w:basedOn w:val="Normal"/>
    <w:next w:val="ssPara1"/>
    <w:link w:val="ssqChar4"/>
    <w:semiHidden/>
    <w:rsid w:val="00670731"/>
    <w:pPr>
      <w:pageBreakBefore/>
      <w:numPr>
        <w:numId w:val="30"/>
      </w:numPr>
      <w:spacing w:after="260"/>
      <w:jc w:val="center"/>
    </w:pPr>
    <w:rPr>
      <w:rFonts w:eastAsia="SimSun" w:asciiTheme="minorHAnsi" w:hAnsiTheme="minorHAnsi" w:cs="Times New Roman"/>
      <w:b/>
      <w:caps/>
      <w:lang w:eastAsia="en-GB"/>
    </w:rPr>
  </w:style>
  <w:style w:type="character" w:customStyle="1" w:styleId="ssqChar4">
    <w:name w:val="ssqمبرز Char"/>
    <w:basedOn w:val="DefaultParagraphFont"/>
    <w:link w:val="ssq4"/>
    <w:semiHidden/>
    <w:rsid w:val="00670731"/>
    <w:rPr>
      <w:rFonts w:eastAsia="SimSun" w:asciiTheme="minorHAnsi" w:hAnsiTheme="minorHAnsi"/>
      <w:b/>
      <w:caps/>
    </w:rPr>
  </w:style>
  <w:style w:type="paragraph" w:customStyle="1" w:styleId="ssq5">
    <w:name w:val="ssqملحق"/>
    <w:basedOn w:val="Normal"/>
    <w:next w:val="ssPara1"/>
    <w:link w:val="ssqChar5"/>
    <w:semiHidden/>
    <w:rsid w:val="00670731"/>
    <w:pPr>
      <w:pageBreakBefore/>
      <w:numPr>
        <w:numId w:val="31"/>
      </w:numPr>
      <w:spacing w:after="260"/>
      <w:jc w:val="center"/>
    </w:pPr>
    <w:rPr>
      <w:rFonts w:eastAsia="SimSun" w:asciiTheme="minorHAnsi" w:hAnsiTheme="minorHAnsi" w:cs="Times New Roman"/>
      <w:b/>
      <w:caps/>
      <w:lang w:eastAsia="en-GB"/>
    </w:rPr>
  </w:style>
  <w:style w:type="character" w:customStyle="1" w:styleId="ssqChar5">
    <w:name w:val="ssqملحق Char"/>
    <w:basedOn w:val="DefaultParagraphFont"/>
    <w:link w:val="ssq5"/>
    <w:semiHidden/>
    <w:rsid w:val="00670731"/>
    <w:rPr>
      <w:rFonts w:eastAsia="SimSun" w:asciiTheme="minorHAnsi" w:hAnsiTheme="minorHAnsi"/>
      <w:b/>
      <w:caps/>
    </w:rPr>
  </w:style>
  <w:style w:type="paragraph" w:customStyle="1" w:styleId="SSOfficeEntity">
    <w:name w:val="SSOfficeEntity"/>
    <w:basedOn w:val="SSOfficeDetails"/>
    <w:uiPriority w:val="19"/>
    <w:rsid w:val="00A324BE"/>
    <w:rPr>
      <w:rFonts w:asciiTheme="majorHAnsi" w:hAnsiTheme="majorHAnsi"/>
      <w:b/>
      <w:bCs/>
    </w:rPr>
  </w:style>
  <w:style w:type="paragraph" w:customStyle="1" w:styleId="SSFooter">
    <w:name w:val="SSFooter"/>
    <w:basedOn w:val="Footer"/>
    <w:uiPriority w:val="19"/>
    <w:rsid w:val="00A324BE"/>
    <w:rPr>
      <w:rFonts w:eastAsia="Arial" w:asciiTheme="minorHAnsi" w:hAnsiTheme="minorHAnsi"/>
      <w:szCs w:val="16"/>
      <w:lang w:eastAsia="en-GB"/>
    </w:rPr>
  </w:style>
  <w:style w:type="paragraph" w:customStyle="1" w:styleId="SSFooterHeading">
    <w:name w:val="SSFooterHeading"/>
    <w:basedOn w:val="SSFooter"/>
    <w:uiPriority w:val="19"/>
    <w:rsid w:val="00A324BE"/>
    <w:pPr>
      <w:spacing w:after="120"/>
    </w:pPr>
    <w:rPr>
      <w:rFonts w:asciiTheme="majorHAnsi" w:hAnsiTheme="majorHAnsi"/>
      <w:sz w:val="16"/>
    </w:rPr>
  </w:style>
  <w:style w:type="paragraph" w:customStyle="1" w:styleId="SSOfficeDetails">
    <w:name w:val="SSOfficeDetails"/>
    <w:basedOn w:val="ssContactDetails"/>
    <w:uiPriority w:val="19"/>
    <w:rsid w:val="00A324BE"/>
    <w:pPr>
      <w:adjustRightInd w:val="0"/>
      <w:snapToGrid w:val="0"/>
      <w:spacing w:line="240" w:lineRule="auto"/>
      <w:jc w:val="left"/>
    </w:pPr>
    <w:rPr>
      <w:rFonts w:eastAsia="Real Text Light" w:cs="Arial"/>
    </w:rPr>
  </w:style>
  <w:style w:type="numbering" w:customStyle="1" w:styleId="AppendixNumbering">
    <w:name w:val="Appendix Numbering"/>
    <w:uiPriority w:val="99"/>
    <w:rsid w:val="0093437F"/>
    <w:pPr>
      <w:numPr>
        <w:numId w:val="43"/>
      </w:numPr>
    </w:pPr>
  </w:style>
  <w:style w:type="numbering" w:customStyle="1" w:styleId="ExhibitNumbering">
    <w:name w:val="Exhibit Numbering"/>
    <w:uiPriority w:val="99"/>
    <w:rsid w:val="0093437F"/>
    <w:pPr>
      <w:numPr>
        <w:numId w:val="44"/>
      </w:numPr>
    </w:pPr>
  </w:style>
  <w:style w:type="numbering" w:customStyle="1" w:styleId="ScheduleNumbering">
    <w:name w:val="Schedule Numbering"/>
    <w:uiPriority w:val="99"/>
    <w:rsid w:val="00A324BE"/>
    <w:pPr>
      <w:numPr>
        <w:numId w:val="45"/>
      </w:numPr>
    </w:pPr>
  </w:style>
  <w:style w:type="numbering" w:customStyle="1" w:styleId="SectionNumbering">
    <w:name w:val="Section Numbering"/>
    <w:uiPriority w:val="99"/>
    <w:rsid w:val="00A324BE"/>
    <w:pPr>
      <w:numPr>
        <w:numId w:val="46"/>
      </w:numPr>
    </w:pPr>
  </w:style>
  <w:style w:type="paragraph" w:customStyle="1" w:styleId="ssRestartAppendix">
    <w:name w:val="ssRestartAppendix"/>
    <w:basedOn w:val="Normal"/>
    <w:next w:val="ssPara1"/>
    <w:uiPriority w:val="40"/>
    <w:rsid w:val="00A324BE"/>
    <w:pPr>
      <w:numPr>
        <w:numId w:val="47"/>
      </w:numPr>
    </w:pPr>
    <w:rPr>
      <w:rFonts w:asciiTheme="minorHAnsi" w:hAnsiTheme="minorHAnsi"/>
      <w:color w:val="FF0000"/>
    </w:rPr>
  </w:style>
  <w:style w:type="paragraph" w:customStyle="1" w:styleId="ssRestartExhibit">
    <w:name w:val="ssRestartExhibit"/>
    <w:basedOn w:val="Normal"/>
    <w:next w:val="ssPara1"/>
    <w:uiPriority w:val="42"/>
    <w:rsid w:val="00A324BE"/>
    <w:pPr>
      <w:numPr>
        <w:numId w:val="48"/>
      </w:numPr>
    </w:pPr>
    <w:rPr>
      <w:rFonts w:asciiTheme="minorHAnsi" w:hAnsiTheme="minorHAnsi"/>
      <w:color w:val="FF0000"/>
    </w:rPr>
  </w:style>
  <w:style w:type="paragraph" w:customStyle="1" w:styleId="ssRestartNumber">
    <w:name w:val="ssRestartNumber"/>
    <w:basedOn w:val="Normal"/>
    <w:next w:val="ssPara1"/>
    <w:uiPriority w:val="4"/>
    <w:rsid w:val="00A324BE"/>
    <w:pPr>
      <w:numPr>
        <w:numId w:val="51"/>
      </w:numPr>
    </w:pPr>
    <w:rPr>
      <w:rFonts w:eastAsia="MingLiU" w:asciiTheme="minorHAnsi" w:hAnsiTheme="minorHAnsi" w:cs="Times New Roman"/>
      <w:color w:val="FF0000"/>
      <w:lang w:eastAsia="en-GB"/>
    </w:rPr>
  </w:style>
  <w:style w:type="paragraph" w:customStyle="1" w:styleId="ssRestartPart">
    <w:name w:val="ssRestartPart"/>
    <w:basedOn w:val="Normal"/>
    <w:next w:val="ssPara1"/>
    <w:uiPriority w:val="44"/>
    <w:rsid w:val="00A324BE"/>
    <w:pPr>
      <w:numPr>
        <w:numId w:val="49"/>
      </w:numPr>
    </w:pPr>
    <w:rPr>
      <w:rFonts w:asciiTheme="minorHAnsi" w:hAnsiTheme="minorHAnsi"/>
      <w:color w:val="FF0000"/>
    </w:rPr>
  </w:style>
  <w:style w:type="paragraph" w:customStyle="1" w:styleId="ssRestartSchedule">
    <w:name w:val="ssRestartSchedule"/>
    <w:basedOn w:val="Normal"/>
    <w:next w:val="ssPara1"/>
    <w:uiPriority w:val="46"/>
    <w:rsid w:val="00A324BE"/>
    <w:pPr>
      <w:numPr>
        <w:numId w:val="50"/>
      </w:numPr>
    </w:pPr>
    <w:rPr>
      <w:rFonts w:asciiTheme="minorHAnsi" w:hAnsiTheme="minorHAnsi"/>
      <w:color w:val="FF0000"/>
    </w:rPr>
  </w:style>
  <w:style w:type="paragraph" w:customStyle="1" w:styleId="ssRestartSection">
    <w:name w:val="ssRestartSection"/>
    <w:basedOn w:val="Normal"/>
    <w:next w:val="ssPara1"/>
    <w:uiPriority w:val="46"/>
    <w:rsid w:val="00A324BE"/>
    <w:pPr>
      <w:numPr>
        <w:numId w:val="46"/>
      </w:numPr>
    </w:pPr>
    <w:rPr>
      <w:rFonts w:asciiTheme="minorHAnsi" w:hAnsiTheme="minorHAnsi"/>
      <w:color w:val="FF0000"/>
    </w:rPr>
  </w:style>
  <w:style w:type="character" w:customStyle="1" w:styleId="Heading8Char">
    <w:name w:val="Heading 8 Char"/>
    <w:basedOn w:val="DefaultParagraphFont"/>
    <w:link w:val="Heading8"/>
    <w:uiPriority w:val="9"/>
    <w:semiHidden/>
    <w:rsid w:val="00337688"/>
    <w:rPr>
      <w:rFonts w:eastAsia="MingLiU" w:asciiTheme="minorHAnsi" w:hAnsiTheme="minorHAnsi"/>
      <w:iCs/>
      <w:szCs w:val="24"/>
    </w:rPr>
  </w:style>
  <w:style w:type="character" w:customStyle="1" w:styleId="Heading9Char">
    <w:name w:val="Heading 9 Char"/>
    <w:basedOn w:val="DefaultParagraphFont"/>
    <w:link w:val="Heading9"/>
    <w:uiPriority w:val="9"/>
    <w:rsid w:val="00337688"/>
    <w:rPr>
      <w:rFonts w:eastAsia="MingLiU" w:asciiTheme="minorHAnsi" w:hAnsiTheme="minorHAnsi" w:cs="Arial"/>
    </w:rPr>
  </w:style>
  <w:style w:type="paragraph" w:styleId="TOC5">
    <w:name w:val="toc 5"/>
    <w:basedOn w:val="TOC1"/>
    <w:next w:val="Normal"/>
    <w:autoRedefine/>
    <w:uiPriority w:val="39"/>
    <w:rsid w:val="00A324BE"/>
    <w:pPr>
      <w:spacing w:after="100"/>
    </w:pPr>
    <w:rPr>
      <w:caps/>
    </w:rPr>
  </w:style>
  <w:style w:type="paragraph" w:customStyle="1" w:styleId="ssqToCAdd">
    <w:name w:val="ssqToCAdd"/>
    <w:basedOn w:val="ssPara"/>
    <w:uiPriority w:val="19"/>
    <w:rsid w:val="00DC2D53"/>
    <w:rPr>
      <w:lang w:val="en-US"/>
    </w:rPr>
  </w:style>
  <w:style w:type="paragraph" w:customStyle="1" w:styleId="SSOfficeDetailsME">
    <w:name w:val="SSOfficeDetailsME"/>
    <w:basedOn w:val="SSOfficeDetails"/>
    <w:uiPriority w:val="19"/>
    <w:rsid w:val="00B56136"/>
    <w:pPr>
      <w:spacing w:line="190" w:lineRule="exact"/>
      <w:jc w:val="right"/>
    </w:pPr>
    <w:rPr>
      <w:rFonts w:ascii="Cairo" w:hAnsi="Cairo"/>
      <w:noProof/>
    </w:rPr>
  </w:style>
  <w:style w:type="table" w:customStyle="1" w:styleId="ssTable">
    <w:name w:val="ssTable"/>
    <w:basedOn w:val="TableNormal"/>
    <w:rsid w:val="00D97BDA"/>
    <w:rPr>
      <w:rFonts w:eastAsia="SimSun"/>
      <w:szCs w:val="20"/>
    </w:rPr>
    <w:tblPr/>
    <w:tcPr>
      <w:tcMar>
        <w:left w:w="0" w:type="dxa"/>
        <w:right w:w="0" w:type="dxa"/>
      </w:tcMar>
    </w:tcPr>
  </w:style>
  <w:style w:type="paragraph" w:customStyle="1" w:styleId="ssRestartAnnex">
    <w:name w:val="ssRestartAnnex"/>
    <w:basedOn w:val="ssUserEntry"/>
    <w:next w:val="ssPara1"/>
    <w:link w:val="ssRestartAnnexChar"/>
    <w:rsid w:val="00414E53"/>
    <w:pPr>
      <w:numPr>
        <w:numId w:val="55"/>
      </w:numPr>
    </w:pPr>
    <w:rPr>
      <w:b/>
      <w:color w:val="FF0000"/>
      <w:lang w:val="fr-FR"/>
    </w:rPr>
  </w:style>
  <w:style w:type="character" w:customStyle="1" w:styleId="ssRestartAnnexChar">
    <w:name w:val="ssRestartAnnex Char"/>
    <w:basedOn w:val="DefaultParagraphFont"/>
    <w:link w:val="ssRestartAnnex"/>
    <w:rsid w:val="00414E53"/>
    <w:rPr>
      <w:rFonts w:eastAsia="MingLiU" w:asciiTheme="minorHAnsi" w:hAnsiTheme="minorHAnsi"/>
      <w:b/>
      <w:color w:val="FF0000"/>
      <w:lang w:val="fr-FR" w:eastAsia="ja-JP"/>
    </w:rPr>
  </w:style>
  <w:style w:type="paragraph" w:customStyle="1" w:styleId="ssRestartExposicin">
    <w:name w:val="ssRestartExposición"/>
    <w:basedOn w:val="ssqScheda"/>
    <w:next w:val="ssPara1"/>
    <w:link w:val="ssRestartExposicinChar"/>
    <w:uiPriority w:val="10"/>
    <w:rsid w:val="00414E53"/>
    <w:pPr>
      <w:numPr>
        <w:ilvl w:val="0"/>
        <w:numId w:val="56"/>
      </w:numPr>
    </w:pPr>
    <w:rPr>
      <w:color w:val="FF0000"/>
    </w:rPr>
  </w:style>
  <w:style w:type="character" w:customStyle="1" w:styleId="ssRestartExposicinChar">
    <w:name w:val="ssRestartExposición Char"/>
    <w:basedOn w:val="ssqSchedaChar"/>
    <w:link w:val="ssRestartExposicin"/>
    <w:rsid w:val="00414E53"/>
    <w:rPr>
      <w:rFonts w:eastAsia="MingLiU" w:asciiTheme="minorHAnsi" w:hAnsiTheme="minorHAnsi"/>
      <w:b/>
      <w:caps/>
      <w:color w:val="FF0000"/>
      <w:lang w:val="fr-FR" w:eastAsia="ja-JP"/>
    </w:rPr>
  </w:style>
  <w:style w:type="paragraph" w:customStyle="1" w:styleId="ssRestartScheda">
    <w:name w:val="ssRestartScheda"/>
    <w:basedOn w:val="ssqAnnex"/>
    <w:next w:val="ssPara1"/>
    <w:link w:val="ssRestartSchedaChar"/>
    <w:rsid w:val="00414E53"/>
    <w:pPr>
      <w:numPr>
        <w:ilvl w:val="0"/>
        <w:numId w:val="57"/>
      </w:numPr>
    </w:pPr>
    <w:rPr>
      <w:color w:val="FF0000"/>
    </w:rPr>
  </w:style>
  <w:style w:type="character" w:customStyle="1" w:styleId="ssRestartSchedaChar">
    <w:name w:val="ssRestartScheda Char"/>
    <w:basedOn w:val="ssqAnnexChar"/>
    <w:link w:val="ssRestartScheda"/>
    <w:rsid w:val="00414E53"/>
    <w:rPr>
      <w:rFonts w:eastAsia="MingLiU" w:asciiTheme="minorHAnsi" w:hAnsiTheme="minorHAnsi"/>
      <w:b/>
      <w:caps/>
      <w:color w:val="FF0000"/>
      <w:lang w:val="fr-FR" w:eastAsia="ja-JP"/>
    </w:rPr>
  </w:style>
  <w:style w:type="paragraph" w:styleId="BalloonText">
    <w:name w:val="Balloon Text"/>
    <w:basedOn w:val="Normal"/>
    <w:link w:val="BalloonTextChar"/>
    <w:uiPriority w:val="99"/>
    <w:semiHidden/>
    <w:rsid w:val="000141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1F7"/>
    <w:rPr>
      <w:rFonts w:ascii="Segoe UI" w:hAnsi="Segoe UI" w:eastAsiaTheme="minorHAnsi" w:cs="Segoe UI"/>
      <w:sz w:val="18"/>
      <w:szCs w:val="18"/>
      <w:lang w:eastAsia="en-US"/>
    </w:rPr>
  </w:style>
  <w:style w:type="paragraph" w:styleId="EndnoteText">
    <w:name w:val="endnote text"/>
    <w:basedOn w:val="Normal"/>
    <w:link w:val="EndnoteTextChar"/>
    <w:uiPriority w:val="99"/>
    <w:semiHidden/>
    <w:rsid w:val="000141F7"/>
    <w:rPr>
      <w:sz w:val="20"/>
      <w:szCs w:val="20"/>
    </w:rPr>
  </w:style>
  <w:style w:type="character" w:customStyle="1" w:styleId="EndnoteTextChar">
    <w:name w:val="Endnote Text Char"/>
    <w:basedOn w:val="DefaultParagraphFont"/>
    <w:link w:val="EndnoteText"/>
    <w:uiPriority w:val="99"/>
    <w:semiHidden/>
    <w:rsid w:val="000141F7"/>
    <w:rPr>
      <w:rFonts w:eastAsiaTheme="minorHAnsi" w:cstheme="minorBidi"/>
      <w:sz w:val="20"/>
      <w:szCs w:val="20"/>
      <w:lang w:eastAsia="en-US"/>
    </w:rPr>
  </w:style>
  <w:style w:type="paragraph" w:styleId="CommentText">
    <w:name w:val="annotation text"/>
    <w:basedOn w:val="Normal"/>
    <w:link w:val="CommentTextChar"/>
    <w:uiPriority w:val="99"/>
    <w:semiHidden/>
    <w:rsid w:val="000141F7"/>
    <w:rPr>
      <w:sz w:val="20"/>
      <w:szCs w:val="20"/>
    </w:rPr>
  </w:style>
  <w:style w:type="character" w:customStyle="1" w:styleId="CommentTextChar">
    <w:name w:val="Comment Text Char"/>
    <w:basedOn w:val="DefaultParagraphFont"/>
    <w:link w:val="CommentText"/>
    <w:uiPriority w:val="99"/>
    <w:rsid w:val="000141F7"/>
    <w:rPr>
      <w:rFonts w:eastAsiaTheme="minorHAnsi" w:cstheme="minorBidi"/>
      <w:sz w:val="20"/>
      <w:szCs w:val="20"/>
      <w:lang w:eastAsia="en-US"/>
    </w:rPr>
  </w:style>
  <w:style w:type="numbering" w:styleId="111111">
    <w:name w:val="Outline List 2"/>
    <w:basedOn w:val="NoList"/>
    <w:uiPriority w:val="99"/>
    <w:semiHidden/>
    <w:rsid w:val="000141F7"/>
    <w:pPr>
      <w:numPr>
        <w:numId w:val="58"/>
      </w:numPr>
    </w:pPr>
  </w:style>
  <w:style w:type="numbering" w:styleId="1ai">
    <w:name w:val="Outline List 1"/>
    <w:basedOn w:val="NoList"/>
    <w:uiPriority w:val="99"/>
    <w:semiHidden/>
    <w:rsid w:val="000141F7"/>
    <w:pPr>
      <w:numPr>
        <w:numId w:val="59"/>
      </w:numPr>
    </w:pPr>
  </w:style>
  <w:style w:type="numbering" w:styleId="ArticleSection">
    <w:name w:val="Outline List 3"/>
    <w:basedOn w:val="NoList"/>
    <w:uiPriority w:val="99"/>
    <w:semiHidden/>
    <w:rsid w:val="000141F7"/>
    <w:pPr>
      <w:numPr>
        <w:numId w:val="60"/>
      </w:numPr>
    </w:pPr>
  </w:style>
  <w:style w:type="paragraph" w:styleId="Bibliography">
    <w:name w:val="Bibliography"/>
    <w:basedOn w:val="Normal"/>
    <w:next w:val="Normal"/>
    <w:uiPriority w:val="37"/>
    <w:semiHidden/>
    <w:rsid w:val="000141F7"/>
  </w:style>
  <w:style w:type="paragraph" w:styleId="BlockText">
    <w:name w:val="Block Text"/>
    <w:basedOn w:val="Normal"/>
    <w:uiPriority w:val="99"/>
    <w:semiHidden/>
    <w:rsid w:val="000141F7"/>
    <w:pPr>
      <w:pBdr>
        <w:top w:val="single" w:sz="2" w:space="10" w:color="88E5BD" w:themeColor="accent1"/>
        <w:left w:val="single" w:sz="2" w:space="10" w:color="88E5BD" w:themeColor="accent1"/>
        <w:bottom w:val="single" w:sz="2" w:space="10" w:color="88E5BD" w:themeColor="accent1"/>
        <w:right w:val="single" w:sz="2" w:space="10" w:color="88E5BD" w:themeColor="accent1"/>
      </w:pBdr>
      <w:ind w:left="1152" w:right="1152"/>
    </w:pPr>
    <w:rPr>
      <w:rFonts w:asciiTheme="minorHAnsi" w:eastAsiaTheme="minorEastAsia" w:hAnsiTheme="minorHAnsi"/>
      <w:i/>
      <w:iCs/>
      <w:color w:val="88E5BD" w:themeColor="accent1"/>
    </w:rPr>
  </w:style>
  <w:style w:type="paragraph" w:styleId="BodyText">
    <w:name w:val="Body Text"/>
    <w:basedOn w:val="Normal"/>
    <w:link w:val="BodyTextChar"/>
    <w:uiPriority w:val="99"/>
    <w:semiHidden/>
    <w:rsid w:val="000141F7"/>
    <w:pPr>
      <w:spacing w:after="120"/>
    </w:pPr>
  </w:style>
  <w:style w:type="character" w:customStyle="1" w:styleId="BodyTextChar">
    <w:name w:val="Body Text Char"/>
    <w:basedOn w:val="DefaultParagraphFont"/>
    <w:link w:val="BodyText"/>
    <w:uiPriority w:val="99"/>
    <w:rsid w:val="000141F7"/>
    <w:rPr>
      <w:rFonts w:eastAsiaTheme="minorHAnsi" w:cstheme="minorBidi"/>
      <w:lang w:eastAsia="en-US"/>
    </w:rPr>
  </w:style>
  <w:style w:type="paragraph" w:styleId="BodyText2">
    <w:name w:val="Body Text 2"/>
    <w:basedOn w:val="Normal"/>
    <w:link w:val="BodyText2Char"/>
    <w:uiPriority w:val="99"/>
    <w:semiHidden/>
    <w:rsid w:val="000141F7"/>
    <w:pPr>
      <w:spacing w:after="120" w:line="480" w:lineRule="auto"/>
    </w:pPr>
  </w:style>
  <w:style w:type="character" w:customStyle="1" w:styleId="BodyText2Char">
    <w:name w:val="Body Text 2 Char"/>
    <w:basedOn w:val="DefaultParagraphFont"/>
    <w:link w:val="BodyText2"/>
    <w:uiPriority w:val="99"/>
    <w:semiHidden/>
    <w:rsid w:val="000141F7"/>
    <w:rPr>
      <w:rFonts w:eastAsiaTheme="minorHAnsi" w:cstheme="minorBidi"/>
      <w:lang w:eastAsia="en-US"/>
    </w:rPr>
  </w:style>
  <w:style w:type="paragraph" w:styleId="BodyText3">
    <w:name w:val="Body Text 3"/>
    <w:basedOn w:val="Normal"/>
    <w:link w:val="BodyText3Char"/>
    <w:uiPriority w:val="99"/>
    <w:semiHidden/>
    <w:rsid w:val="000141F7"/>
    <w:pPr>
      <w:spacing w:after="120"/>
    </w:pPr>
    <w:rPr>
      <w:sz w:val="16"/>
      <w:szCs w:val="16"/>
    </w:rPr>
  </w:style>
  <w:style w:type="character" w:customStyle="1" w:styleId="BodyText3Char">
    <w:name w:val="Body Text 3 Char"/>
    <w:basedOn w:val="DefaultParagraphFont"/>
    <w:link w:val="BodyText3"/>
    <w:uiPriority w:val="99"/>
    <w:semiHidden/>
    <w:rsid w:val="000141F7"/>
    <w:rPr>
      <w:rFonts w:eastAsiaTheme="minorHAnsi" w:cstheme="minorBidi"/>
      <w:sz w:val="16"/>
      <w:szCs w:val="16"/>
      <w:lang w:eastAsia="en-US"/>
    </w:rPr>
  </w:style>
  <w:style w:type="paragraph" w:styleId="BodyTextFirstIndent">
    <w:name w:val="Body Text First Indent"/>
    <w:basedOn w:val="BodyText"/>
    <w:link w:val="BodyTextFirstIndentChar"/>
    <w:uiPriority w:val="99"/>
    <w:semiHidden/>
    <w:rsid w:val="000141F7"/>
    <w:pPr>
      <w:spacing w:after="0"/>
      <w:ind w:firstLine="360"/>
    </w:pPr>
  </w:style>
  <w:style w:type="character" w:customStyle="1" w:styleId="BodyTextFirstIndentChar">
    <w:name w:val="Body Text First Indent Char"/>
    <w:basedOn w:val="BodyTextChar"/>
    <w:link w:val="BodyTextFirstIndent"/>
    <w:uiPriority w:val="99"/>
    <w:semiHidden/>
    <w:rsid w:val="000141F7"/>
    <w:rPr>
      <w:rFonts w:eastAsiaTheme="minorHAnsi" w:cstheme="minorBidi"/>
      <w:lang w:eastAsia="en-US"/>
    </w:rPr>
  </w:style>
  <w:style w:type="paragraph" w:styleId="BodyTextIndent">
    <w:name w:val="Body Text Indent"/>
    <w:basedOn w:val="Normal"/>
    <w:link w:val="BodyTextIndentChar"/>
    <w:uiPriority w:val="99"/>
    <w:semiHidden/>
    <w:rsid w:val="000141F7"/>
    <w:pPr>
      <w:spacing w:after="120"/>
      <w:ind w:left="283"/>
    </w:pPr>
  </w:style>
  <w:style w:type="character" w:customStyle="1" w:styleId="BodyTextIndentChar">
    <w:name w:val="Body Text Indent Char"/>
    <w:basedOn w:val="DefaultParagraphFont"/>
    <w:link w:val="BodyTextIndent"/>
    <w:uiPriority w:val="99"/>
    <w:rsid w:val="000141F7"/>
    <w:rPr>
      <w:rFonts w:eastAsiaTheme="minorHAnsi" w:cstheme="minorBidi"/>
      <w:lang w:eastAsia="en-US"/>
    </w:rPr>
  </w:style>
  <w:style w:type="paragraph" w:styleId="BodyTextFirstIndent2">
    <w:name w:val="Body Text First Indent 2"/>
    <w:basedOn w:val="BodyTextIndent"/>
    <w:link w:val="BodyTextFirstIndent2Char"/>
    <w:uiPriority w:val="99"/>
    <w:semiHidden/>
    <w:rsid w:val="000141F7"/>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1F7"/>
    <w:rPr>
      <w:rFonts w:eastAsiaTheme="minorHAnsi" w:cstheme="minorBidi"/>
      <w:lang w:eastAsia="en-US"/>
    </w:rPr>
  </w:style>
  <w:style w:type="paragraph" w:styleId="BodyTextIndent2">
    <w:name w:val="Body Text Indent 2"/>
    <w:basedOn w:val="Normal"/>
    <w:link w:val="BodyTextIndent2Char"/>
    <w:uiPriority w:val="99"/>
    <w:semiHidden/>
    <w:rsid w:val="000141F7"/>
    <w:pPr>
      <w:spacing w:after="120" w:line="480" w:lineRule="auto"/>
      <w:ind w:left="283"/>
    </w:pPr>
  </w:style>
  <w:style w:type="character" w:customStyle="1" w:styleId="BodyTextIndent2Char">
    <w:name w:val="Body Text Indent 2 Char"/>
    <w:basedOn w:val="DefaultParagraphFont"/>
    <w:link w:val="BodyTextIndent2"/>
    <w:uiPriority w:val="99"/>
    <w:rsid w:val="000141F7"/>
    <w:rPr>
      <w:rFonts w:eastAsiaTheme="minorHAnsi" w:cstheme="minorBidi"/>
      <w:lang w:eastAsia="en-US"/>
    </w:rPr>
  </w:style>
  <w:style w:type="paragraph" w:styleId="BodyTextIndent3">
    <w:name w:val="Body Text Indent 3"/>
    <w:basedOn w:val="Normal"/>
    <w:link w:val="BodyTextIndent3Char"/>
    <w:uiPriority w:val="99"/>
    <w:semiHidden/>
    <w:rsid w:val="000141F7"/>
    <w:pPr>
      <w:spacing w:after="120"/>
      <w:ind w:left="283"/>
    </w:pPr>
    <w:rPr>
      <w:sz w:val="16"/>
      <w:szCs w:val="16"/>
    </w:rPr>
  </w:style>
  <w:style w:type="character" w:customStyle="1" w:styleId="BodyTextIndent3Char">
    <w:name w:val="Body Text Indent 3 Char"/>
    <w:basedOn w:val="DefaultParagraphFont"/>
    <w:link w:val="BodyTextIndent3"/>
    <w:uiPriority w:val="99"/>
    <w:rsid w:val="000141F7"/>
    <w:rPr>
      <w:rFonts w:eastAsiaTheme="minorHAnsi" w:cstheme="minorBidi"/>
      <w:sz w:val="16"/>
      <w:szCs w:val="16"/>
      <w:lang w:eastAsia="en-US"/>
    </w:rPr>
  </w:style>
  <w:style w:type="character" w:styleId="BookTitle">
    <w:name w:val="Book Title"/>
    <w:basedOn w:val="DefaultParagraphFont"/>
    <w:uiPriority w:val="33"/>
    <w:semiHidden/>
    <w:qFormat/>
    <w:rsid w:val="000141F7"/>
    <w:rPr>
      <w:b/>
      <w:bCs/>
      <w:i/>
      <w:iCs/>
      <w:spacing w:val="5"/>
    </w:rPr>
  </w:style>
  <w:style w:type="paragraph" w:styleId="Caption">
    <w:name w:val="caption"/>
    <w:basedOn w:val="Normal"/>
    <w:next w:val="Normal"/>
    <w:uiPriority w:val="35"/>
    <w:semiHidden/>
    <w:qFormat/>
    <w:rsid w:val="000141F7"/>
    <w:pPr>
      <w:spacing w:after="200"/>
    </w:pPr>
    <w:rPr>
      <w:i/>
      <w:iCs/>
      <w:color w:val="FC515B" w:themeColor="text2"/>
      <w:sz w:val="18"/>
      <w:szCs w:val="18"/>
    </w:rPr>
  </w:style>
  <w:style w:type="paragraph" w:styleId="Closing">
    <w:name w:val="Closing"/>
    <w:basedOn w:val="Normal"/>
    <w:link w:val="ClosingChar"/>
    <w:uiPriority w:val="99"/>
    <w:semiHidden/>
    <w:rsid w:val="000141F7"/>
    <w:pPr>
      <w:ind w:left="4252"/>
    </w:pPr>
  </w:style>
  <w:style w:type="character" w:customStyle="1" w:styleId="ClosingChar">
    <w:name w:val="Closing Char"/>
    <w:basedOn w:val="DefaultParagraphFont"/>
    <w:link w:val="Closing"/>
    <w:uiPriority w:val="99"/>
    <w:semiHidden/>
    <w:rsid w:val="000141F7"/>
    <w:rPr>
      <w:rFonts w:eastAsiaTheme="minorHAnsi" w:cstheme="minorBidi"/>
      <w:lang w:eastAsia="en-US"/>
    </w:rPr>
  </w:style>
  <w:style w:type="table" w:styleId="ColorfulGrid">
    <w:name w:val="Colorful Grid"/>
    <w:basedOn w:val="TableNormal"/>
    <w:uiPriority w:val="73"/>
    <w:semiHidden/>
    <w:rsid w:val="000141F7"/>
    <w:rPr>
      <w:color w:val="303030" w:themeColor="text1"/>
    </w:rPr>
    <w:tblPr>
      <w:tblStyleRowBandSize w:val="1"/>
      <w:tblStyleColBandSize w:val="1"/>
      <w:tblBorders>
        <w:insideH w:val="single" w:sz="4" w:space="0" w:color="FFFFFF" w:themeColor="background1"/>
      </w:tblBorders>
    </w:tblPr>
    <w:tcPr>
      <w:shd w:val="clear" w:color="auto" w:fill="D5D5D5" w:themeFill="text1" w:themeFillTint="33"/>
    </w:tcPr>
    <w:tblStylePr w:type="firstRow">
      <w:rPr>
        <w:b/>
        <w:bCs/>
      </w:rPr>
      <w:tblPr/>
      <w:tcPr>
        <w:shd w:val="clear" w:color="auto" w:fill="ACACAC" w:themeFill="text1" w:themeFillTint="66"/>
      </w:tcPr>
    </w:tblStylePr>
    <w:tblStylePr w:type="lastRow">
      <w:rPr>
        <w:b/>
        <w:bCs/>
        <w:color w:val="303030" w:themeColor="text1"/>
      </w:rPr>
      <w:tblPr/>
      <w:tcPr>
        <w:shd w:val="clear" w:color="auto" w:fill="ACACAC" w:themeFill="text1" w:themeFillTint="66"/>
      </w:tcPr>
    </w:tblStylePr>
    <w:tblStylePr w:type="firstCol">
      <w:rPr>
        <w:color w:val="FFFFFF" w:themeColor="background1"/>
      </w:rPr>
      <w:tblPr/>
      <w:tcPr>
        <w:shd w:val="clear" w:color="auto" w:fill="232323" w:themeFill="text1" w:themeFillShade="BF"/>
      </w:tcPr>
    </w:tblStylePr>
    <w:tblStylePr w:type="lastCol">
      <w:rPr>
        <w:color w:val="FFFFFF" w:themeColor="background1"/>
      </w:rPr>
      <w:tblPr/>
      <w:tcPr>
        <w:shd w:val="clear" w:color="auto" w:fill="232323" w:themeFill="text1" w:themeFillShade="BF"/>
      </w:tc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ColorfulGridAccent1">
    <w:name w:val="Colorful Grid Accent 1"/>
    <w:basedOn w:val="TableNormal"/>
    <w:uiPriority w:val="73"/>
    <w:semiHidden/>
    <w:rsid w:val="000141F7"/>
    <w:rPr>
      <w:color w:val="303030" w:themeColor="text1"/>
    </w:rPr>
    <w:tblPr>
      <w:tblStyleRowBandSize w:val="1"/>
      <w:tblStyleColBandSize w:val="1"/>
      <w:tblBorders>
        <w:insideH w:val="single" w:sz="4" w:space="0" w:color="FFFFFF" w:themeColor="background1"/>
      </w:tblBorders>
    </w:tblPr>
    <w:tcPr>
      <w:shd w:val="clear" w:color="auto" w:fill="E7F9F1" w:themeFill="accent1" w:themeFillTint="33"/>
    </w:tcPr>
    <w:tblStylePr w:type="firstRow">
      <w:rPr>
        <w:b/>
        <w:bCs/>
      </w:rPr>
      <w:tblPr/>
      <w:tcPr>
        <w:shd w:val="clear" w:color="auto" w:fill="CFF4E4" w:themeFill="accent1" w:themeFillTint="66"/>
      </w:tcPr>
    </w:tblStylePr>
    <w:tblStylePr w:type="lastRow">
      <w:rPr>
        <w:b/>
        <w:bCs/>
        <w:color w:val="303030" w:themeColor="text1"/>
      </w:rPr>
      <w:tblPr/>
      <w:tcPr>
        <w:shd w:val="clear" w:color="auto" w:fill="CFF4E4" w:themeFill="accent1" w:themeFillTint="66"/>
      </w:tcPr>
    </w:tblStylePr>
    <w:tblStylePr w:type="firstCol">
      <w:rPr>
        <w:color w:val="FFFFFF" w:themeColor="background1"/>
      </w:rPr>
      <w:tblPr/>
      <w:tcPr>
        <w:shd w:val="clear" w:color="auto" w:fill="3CD493" w:themeFill="accent1" w:themeFillShade="BF"/>
      </w:tcPr>
    </w:tblStylePr>
    <w:tblStylePr w:type="lastCol">
      <w:rPr>
        <w:color w:val="FFFFFF" w:themeColor="background1"/>
      </w:rPr>
      <w:tblPr/>
      <w:tcPr>
        <w:shd w:val="clear" w:color="auto" w:fill="3CD493" w:themeFill="accent1" w:themeFillShade="BF"/>
      </w:tcPr>
    </w:tblStylePr>
    <w:tblStylePr w:type="band1Vert">
      <w:tblPr/>
      <w:tcPr>
        <w:shd w:val="clear" w:color="auto" w:fill="C3F2DE" w:themeFill="accent1" w:themeFillTint="7F"/>
      </w:tcPr>
    </w:tblStylePr>
    <w:tblStylePr w:type="band1Horz">
      <w:tblPr/>
      <w:tcPr>
        <w:shd w:val="clear" w:color="auto" w:fill="C3F2DE" w:themeFill="accent1" w:themeFillTint="7F"/>
      </w:tcPr>
    </w:tblStylePr>
  </w:style>
  <w:style w:type="table" w:styleId="ColorfulGridAccent2">
    <w:name w:val="Colorful Grid Accent 2"/>
    <w:basedOn w:val="TableNormal"/>
    <w:uiPriority w:val="73"/>
    <w:semiHidden/>
    <w:rsid w:val="000141F7"/>
    <w:rPr>
      <w:color w:val="303030" w:themeColor="text1"/>
    </w:rPr>
    <w:tblPr>
      <w:tblStyleRowBandSize w:val="1"/>
      <w:tblStyleColBandSize w:val="1"/>
      <w:tblBorders>
        <w:insideH w:val="single" w:sz="4" w:space="0" w:color="FFFFFF" w:themeColor="background1"/>
      </w:tblBorders>
    </w:tblPr>
    <w:tcPr>
      <w:shd w:val="clear" w:color="auto" w:fill="DCF2F9" w:themeFill="accent2" w:themeFillTint="33"/>
    </w:tcPr>
    <w:tblStylePr w:type="firstRow">
      <w:rPr>
        <w:b/>
        <w:bCs/>
      </w:rPr>
      <w:tblPr/>
      <w:tcPr>
        <w:shd w:val="clear" w:color="auto" w:fill="BAE6F4" w:themeFill="accent2" w:themeFillTint="66"/>
      </w:tcPr>
    </w:tblStylePr>
    <w:tblStylePr w:type="lastRow">
      <w:rPr>
        <w:b/>
        <w:bCs/>
        <w:color w:val="303030" w:themeColor="text1"/>
      </w:rPr>
      <w:tblPr/>
      <w:tcPr>
        <w:shd w:val="clear" w:color="auto" w:fill="BAE6F4" w:themeFill="accent2" w:themeFillTint="66"/>
      </w:tcPr>
    </w:tblStylePr>
    <w:tblStylePr w:type="firstCol">
      <w:rPr>
        <w:color w:val="FFFFFF" w:themeColor="background1"/>
      </w:rPr>
      <w:tblPr/>
      <w:tcPr>
        <w:shd w:val="clear" w:color="auto" w:fill="1EA1CA" w:themeFill="accent2" w:themeFillShade="BF"/>
      </w:tcPr>
    </w:tblStylePr>
    <w:tblStylePr w:type="lastCol">
      <w:rPr>
        <w:color w:val="FFFFFF" w:themeColor="background1"/>
      </w:rPr>
      <w:tblPr/>
      <w:tcPr>
        <w:shd w:val="clear" w:color="auto" w:fill="1EA1CA" w:themeFill="accent2" w:themeFillShade="BF"/>
      </w:tcPr>
    </w:tblStylePr>
    <w:tblStylePr w:type="band1Vert">
      <w:tblPr/>
      <w:tcPr>
        <w:shd w:val="clear" w:color="auto" w:fill="A9E0F2" w:themeFill="accent2" w:themeFillTint="7F"/>
      </w:tcPr>
    </w:tblStylePr>
    <w:tblStylePr w:type="band1Horz">
      <w:tblPr/>
      <w:tcPr>
        <w:shd w:val="clear" w:color="auto" w:fill="A9E0F2" w:themeFill="accent2" w:themeFillTint="7F"/>
      </w:tcPr>
    </w:tblStylePr>
  </w:style>
  <w:style w:type="table" w:styleId="ColorfulGridAccent3">
    <w:name w:val="Colorful Grid Accent 3"/>
    <w:basedOn w:val="TableNormal"/>
    <w:uiPriority w:val="73"/>
    <w:semiHidden/>
    <w:rsid w:val="000141F7"/>
    <w:rPr>
      <w:color w:val="303030" w:themeColor="text1"/>
    </w:rPr>
    <w:tblPr>
      <w:tblStyleRowBandSize w:val="1"/>
      <w:tblStyleColBandSize w:val="1"/>
      <w:tblBorders>
        <w:insideH w:val="single" w:sz="4" w:space="0" w:color="FFFFFF" w:themeColor="background1"/>
      </w:tblBorders>
    </w:tblPr>
    <w:tcPr>
      <w:shd w:val="clear" w:color="auto" w:fill="E7E9FC" w:themeFill="accent3" w:themeFillTint="33"/>
    </w:tcPr>
    <w:tblStylePr w:type="firstRow">
      <w:rPr>
        <w:b/>
        <w:bCs/>
      </w:rPr>
      <w:tblPr/>
      <w:tcPr>
        <w:shd w:val="clear" w:color="auto" w:fill="CFD4FA" w:themeFill="accent3" w:themeFillTint="66"/>
      </w:tcPr>
    </w:tblStylePr>
    <w:tblStylePr w:type="lastRow">
      <w:rPr>
        <w:b/>
        <w:bCs/>
        <w:color w:val="303030" w:themeColor="text1"/>
      </w:rPr>
      <w:tblPr/>
      <w:tcPr>
        <w:shd w:val="clear" w:color="auto" w:fill="CFD4FA" w:themeFill="accent3" w:themeFillTint="66"/>
      </w:tcPr>
    </w:tblStylePr>
    <w:tblStylePr w:type="firstCol">
      <w:rPr>
        <w:color w:val="FFFFFF" w:themeColor="background1"/>
      </w:rPr>
      <w:tblPr/>
      <w:tcPr>
        <w:shd w:val="clear" w:color="auto" w:fill="3147EC" w:themeFill="accent3" w:themeFillShade="BF"/>
      </w:tcPr>
    </w:tblStylePr>
    <w:tblStylePr w:type="lastCol">
      <w:rPr>
        <w:color w:val="FFFFFF" w:themeColor="background1"/>
      </w:rPr>
      <w:tblPr/>
      <w:tcPr>
        <w:shd w:val="clear" w:color="auto" w:fill="3147EC" w:themeFill="accent3" w:themeFillShade="BF"/>
      </w:tcPr>
    </w:tblStylePr>
    <w:tblStylePr w:type="band1Vert">
      <w:tblPr/>
      <w:tcPr>
        <w:shd w:val="clear" w:color="auto" w:fill="C4CAF9" w:themeFill="accent3" w:themeFillTint="7F"/>
      </w:tcPr>
    </w:tblStylePr>
    <w:tblStylePr w:type="band1Horz">
      <w:tblPr/>
      <w:tcPr>
        <w:shd w:val="clear" w:color="auto" w:fill="C4CAF9" w:themeFill="accent3" w:themeFillTint="7F"/>
      </w:tcPr>
    </w:tblStylePr>
  </w:style>
  <w:style w:type="table" w:styleId="ColorfulGridAccent4">
    <w:name w:val="Colorful Grid Accent 4"/>
    <w:basedOn w:val="TableNormal"/>
    <w:uiPriority w:val="73"/>
    <w:semiHidden/>
    <w:rsid w:val="000141F7"/>
    <w:rPr>
      <w:color w:val="303030" w:themeColor="text1"/>
    </w:rPr>
    <w:tblPr>
      <w:tblStyleRowBandSize w:val="1"/>
      <w:tblStyleColBandSize w:val="1"/>
      <w:tblBorders>
        <w:insideH w:val="single" w:sz="4" w:space="0" w:color="FFFFFF" w:themeColor="background1"/>
      </w:tblBorders>
    </w:tblPr>
    <w:tcPr>
      <w:shd w:val="clear" w:color="auto" w:fill="FAECFA" w:themeFill="accent4" w:themeFillTint="33"/>
    </w:tcPr>
    <w:tblStylePr w:type="firstRow">
      <w:rPr>
        <w:b/>
        <w:bCs/>
      </w:rPr>
      <w:tblPr/>
      <w:tcPr>
        <w:shd w:val="clear" w:color="auto" w:fill="F6DAF6" w:themeFill="accent4" w:themeFillTint="66"/>
      </w:tcPr>
    </w:tblStylePr>
    <w:tblStylePr w:type="lastRow">
      <w:rPr>
        <w:b/>
        <w:bCs/>
        <w:color w:val="303030" w:themeColor="text1"/>
      </w:rPr>
      <w:tblPr/>
      <w:tcPr>
        <w:shd w:val="clear" w:color="auto" w:fill="F6DAF6" w:themeFill="accent4" w:themeFillTint="66"/>
      </w:tcPr>
    </w:tblStylePr>
    <w:tblStylePr w:type="firstCol">
      <w:rPr>
        <w:color w:val="FFFFFF" w:themeColor="background1"/>
      </w:rPr>
      <w:tblPr/>
      <w:tcPr>
        <w:shd w:val="clear" w:color="auto" w:fill="D752D7" w:themeFill="accent4" w:themeFillShade="BF"/>
      </w:tcPr>
    </w:tblStylePr>
    <w:tblStylePr w:type="lastCol">
      <w:rPr>
        <w:color w:val="FFFFFF" w:themeColor="background1"/>
      </w:rPr>
      <w:tblPr/>
      <w:tcPr>
        <w:shd w:val="clear" w:color="auto" w:fill="D752D7" w:themeFill="accent4" w:themeFillShade="BF"/>
      </w:tcPr>
    </w:tblStylePr>
    <w:tblStylePr w:type="band1Vert">
      <w:tblPr/>
      <w:tcPr>
        <w:shd w:val="clear" w:color="auto" w:fill="F4D1F4" w:themeFill="accent4" w:themeFillTint="7F"/>
      </w:tcPr>
    </w:tblStylePr>
    <w:tblStylePr w:type="band1Horz">
      <w:tblPr/>
      <w:tcPr>
        <w:shd w:val="clear" w:color="auto" w:fill="F4D1F4" w:themeFill="accent4" w:themeFillTint="7F"/>
      </w:tcPr>
    </w:tblStylePr>
  </w:style>
  <w:style w:type="table" w:styleId="ColorfulGridAccent5">
    <w:name w:val="Colorful Grid Accent 5"/>
    <w:basedOn w:val="TableNormal"/>
    <w:uiPriority w:val="73"/>
    <w:semiHidden/>
    <w:rsid w:val="000141F7"/>
    <w:rPr>
      <w:color w:val="303030" w:themeColor="text1"/>
    </w:rPr>
    <w:tblPr>
      <w:tblStyleRowBandSize w:val="1"/>
      <w:tblStyleColBandSize w:val="1"/>
      <w:tblBorders>
        <w:insideH w:val="single" w:sz="4" w:space="0" w:color="FFFFFF" w:themeColor="background1"/>
      </w:tblBorders>
    </w:tblPr>
    <w:tcPr>
      <w:shd w:val="clear" w:color="auto" w:fill="FEE9EA" w:themeFill="accent5" w:themeFillTint="33"/>
    </w:tcPr>
    <w:tblStylePr w:type="firstRow">
      <w:rPr>
        <w:b/>
        <w:bCs/>
      </w:rPr>
      <w:tblPr/>
      <w:tcPr>
        <w:shd w:val="clear" w:color="auto" w:fill="FED4D6" w:themeFill="accent5" w:themeFillTint="66"/>
      </w:tcPr>
    </w:tblStylePr>
    <w:tblStylePr w:type="lastRow">
      <w:rPr>
        <w:b/>
        <w:bCs/>
        <w:color w:val="303030" w:themeColor="text1"/>
      </w:rPr>
      <w:tblPr/>
      <w:tcPr>
        <w:shd w:val="clear" w:color="auto" w:fill="FED4D6" w:themeFill="accent5" w:themeFillTint="66"/>
      </w:tcPr>
    </w:tblStylePr>
    <w:tblStylePr w:type="firstCol">
      <w:rPr>
        <w:color w:val="FFFFFF" w:themeColor="background1"/>
      </w:rPr>
      <w:tblPr/>
      <w:tcPr>
        <w:shd w:val="clear" w:color="auto" w:fill="FB323D" w:themeFill="accent5" w:themeFillShade="BF"/>
      </w:tcPr>
    </w:tblStylePr>
    <w:tblStylePr w:type="lastCol">
      <w:rPr>
        <w:color w:val="FFFFFF" w:themeColor="background1"/>
      </w:rPr>
      <w:tblPr/>
      <w:tcPr>
        <w:shd w:val="clear" w:color="auto" w:fill="FB323D" w:themeFill="accent5" w:themeFillShade="BF"/>
      </w:tcPr>
    </w:tblStylePr>
    <w:tblStylePr w:type="band1Vert">
      <w:tblPr/>
      <w:tcPr>
        <w:shd w:val="clear" w:color="auto" w:fill="FECACD" w:themeFill="accent5" w:themeFillTint="7F"/>
      </w:tcPr>
    </w:tblStylePr>
    <w:tblStylePr w:type="band1Horz">
      <w:tblPr/>
      <w:tcPr>
        <w:shd w:val="clear" w:color="auto" w:fill="FECACD" w:themeFill="accent5" w:themeFillTint="7F"/>
      </w:tcPr>
    </w:tblStylePr>
  </w:style>
  <w:style w:type="table" w:styleId="ColorfulGridAccent6">
    <w:name w:val="Colorful Grid Accent 6"/>
    <w:basedOn w:val="TableNormal"/>
    <w:uiPriority w:val="73"/>
    <w:semiHidden/>
    <w:rsid w:val="000141F7"/>
    <w:rPr>
      <w:color w:val="303030" w:themeColor="text1"/>
    </w:rPr>
    <w:tblPr>
      <w:tblStyleRowBandSize w:val="1"/>
      <w:tblStyleColBandSize w:val="1"/>
      <w:tblBorders>
        <w:insideH w:val="single" w:sz="4" w:space="0" w:color="FFFFFF" w:themeColor="background1"/>
      </w:tblBorders>
    </w:tblPr>
    <w:tcPr>
      <w:shd w:val="clear" w:color="auto" w:fill="F0FBF6" w:themeFill="accent6" w:themeFillTint="33"/>
    </w:tcPr>
    <w:tblStylePr w:type="firstRow">
      <w:rPr>
        <w:b/>
        <w:bCs/>
      </w:rPr>
      <w:tblPr/>
      <w:tcPr>
        <w:shd w:val="clear" w:color="auto" w:fill="E2F8EE" w:themeFill="accent6" w:themeFillTint="66"/>
      </w:tcPr>
    </w:tblStylePr>
    <w:tblStylePr w:type="lastRow">
      <w:rPr>
        <w:b/>
        <w:bCs/>
        <w:color w:val="303030" w:themeColor="text1"/>
      </w:rPr>
      <w:tblPr/>
      <w:tcPr>
        <w:shd w:val="clear" w:color="auto" w:fill="E2F8EE" w:themeFill="accent6" w:themeFillTint="66"/>
      </w:tcPr>
    </w:tblStylePr>
    <w:tblStylePr w:type="firstCol">
      <w:rPr>
        <w:color w:val="FFFFFF" w:themeColor="background1"/>
      </w:rPr>
      <w:tblPr/>
      <w:tcPr>
        <w:shd w:val="clear" w:color="auto" w:fill="60DBA6" w:themeFill="accent6" w:themeFillShade="BF"/>
      </w:tcPr>
    </w:tblStylePr>
    <w:tblStylePr w:type="lastCol">
      <w:rPr>
        <w:color w:val="FFFFFF" w:themeColor="background1"/>
      </w:rPr>
      <w:tblPr/>
      <w:tcPr>
        <w:shd w:val="clear" w:color="auto" w:fill="60DBA6" w:themeFill="accent6" w:themeFillShade="BF"/>
      </w:tcPr>
    </w:tblStylePr>
    <w:tblStylePr w:type="band1Vert">
      <w:tblPr/>
      <w:tcPr>
        <w:shd w:val="clear" w:color="auto" w:fill="DBF7EA" w:themeFill="accent6" w:themeFillTint="7F"/>
      </w:tcPr>
    </w:tblStylePr>
    <w:tblStylePr w:type="band1Horz">
      <w:tblPr/>
      <w:tcPr>
        <w:shd w:val="clear" w:color="auto" w:fill="DBF7EA" w:themeFill="accent6" w:themeFillTint="7F"/>
      </w:tcPr>
    </w:tblStylePr>
  </w:style>
  <w:style w:type="table" w:styleId="ColorfulList">
    <w:name w:val="Colorful List"/>
    <w:basedOn w:val="TableNormal"/>
    <w:uiPriority w:val="72"/>
    <w:semiHidden/>
    <w:rsid w:val="000141F7"/>
    <w:rPr>
      <w:color w:val="303030" w:themeColor="text1"/>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sz="12" w:space="0" w:color="FFFFFF" w:themeColor="background1"/>
        </w:tcBorders>
        <w:shd w:val="clear" w:color="auto" w:fill="20ABD8" w:themeFill="accent2" w:themeFillShade="CC"/>
      </w:tcPr>
    </w:tblStylePr>
    <w:tblStylePr w:type="lastRow">
      <w:rPr>
        <w:b/>
        <w:bCs/>
        <w:color w:val="20ABD8"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BCB" w:themeFill="text1" w:themeFillTint="3F"/>
      </w:tcPr>
    </w:tblStylePr>
    <w:tblStylePr w:type="band1Horz">
      <w:tblPr/>
      <w:tcPr>
        <w:shd w:val="clear" w:color="auto" w:fill="D5D5D5" w:themeFill="text1" w:themeFillTint="33"/>
      </w:tcPr>
    </w:tblStylePr>
  </w:style>
  <w:style w:type="table" w:styleId="ColorfulListAccent1">
    <w:name w:val="Colorful List Accent 1"/>
    <w:basedOn w:val="TableNormal"/>
    <w:uiPriority w:val="72"/>
    <w:semiHidden/>
    <w:rsid w:val="000141F7"/>
    <w:rPr>
      <w:color w:val="303030" w:themeColor="text1"/>
    </w:rPr>
    <w:tblPr>
      <w:tblStyleRowBandSize w:val="1"/>
      <w:tblStyleColBandSize w:val="1"/>
    </w:tblPr>
    <w:tcPr>
      <w:shd w:val="clear" w:color="auto" w:fill="F3FCF8" w:themeFill="accent1" w:themeFillTint="19"/>
    </w:tcPr>
    <w:tblStylePr w:type="firstRow">
      <w:rPr>
        <w:b/>
        <w:bCs/>
        <w:color w:val="FFFFFF" w:themeColor="background1"/>
      </w:rPr>
      <w:tblPr/>
      <w:tcPr>
        <w:tcBorders>
          <w:bottom w:val="single" w:sz="12" w:space="0" w:color="FFFFFF" w:themeColor="background1"/>
        </w:tcBorders>
        <w:shd w:val="clear" w:color="auto" w:fill="20ABD8" w:themeFill="accent2" w:themeFillShade="CC"/>
      </w:tcPr>
    </w:tblStylePr>
    <w:tblStylePr w:type="lastRow">
      <w:rPr>
        <w:b/>
        <w:bCs/>
        <w:color w:val="20ABD8"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8EE" w:themeFill="accent1" w:themeFillTint="3F"/>
      </w:tcPr>
    </w:tblStylePr>
    <w:tblStylePr w:type="band1Horz">
      <w:tblPr/>
      <w:tcPr>
        <w:shd w:val="clear" w:color="auto" w:fill="E7F9F1" w:themeFill="accent1" w:themeFillTint="33"/>
      </w:tcPr>
    </w:tblStylePr>
  </w:style>
  <w:style w:type="table" w:styleId="ColorfulListAccent2">
    <w:name w:val="Colorful List Accent 2"/>
    <w:basedOn w:val="TableNormal"/>
    <w:uiPriority w:val="72"/>
    <w:semiHidden/>
    <w:rsid w:val="000141F7"/>
    <w:rPr>
      <w:color w:val="303030" w:themeColor="text1"/>
    </w:rPr>
    <w:tblPr>
      <w:tblStyleRowBandSize w:val="1"/>
      <w:tblStyleColBandSize w:val="1"/>
    </w:tblPr>
    <w:tcPr>
      <w:shd w:val="clear" w:color="auto" w:fill="EDF8FC" w:themeFill="accent2" w:themeFillTint="19"/>
    </w:tcPr>
    <w:tblStylePr w:type="firstRow">
      <w:rPr>
        <w:b/>
        <w:bCs/>
        <w:color w:val="FFFFFF" w:themeColor="background1"/>
      </w:rPr>
      <w:tblPr/>
      <w:tcPr>
        <w:tcBorders>
          <w:bottom w:val="single" w:sz="12" w:space="0" w:color="FFFFFF" w:themeColor="background1"/>
        </w:tcBorders>
        <w:shd w:val="clear" w:color="auto" w:fill="20ABD8" w:themeFill="accent2" w:themeFillShade="CC"/>
      </w:tcPr>
    </w:tblStylePr>
    <w:tblStylePr w:type="lastRow">
      <w:rPr>
        <w:b/>
        <w:bCs/>
        <w:color w:val="20ABD8"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FF8" w:themeFill="accent2" w:themeFillTint="3F"/>
      </w:tcPr>
    </w:tblStylePr>
    <w:tblStylePr w:type="band1Horz">
      <w:tblPr/>
      <w:tcPr>
        <w:shd w:val="clear" w:color="auto" w:fill="DCF2F9" w:themeFill="accent2" w:themeFillTint="33"/>
      </w:tcPr>
    </w:tblStylePr>
  </w:style>
  <w:style w:type="table" w:styleId="ColorfulListAccent3">
    <w:name w:val="Colorful List Accent 3"/>
    <w:basedOn w:val="TableNormal"/>
    <w:uiPriority w:val="72"/>
    <w:semiHidden/>
    <w:rsid w:val="000141F7"/>
    <w:rPr>
      <w:color w:val="303030" w:themeColor="text1"/>
    </w:rPr>
    <w:tblPr>
      <w:tblStyleRowBandSize w:val="1"/>
      <w:tblStyleColBandSize w:val="1"/>
    </w:tblPr>
    <w:tcPr>
      <w:shd w:val="clear" w:color="auto" w:fill="F3F4FE" w:themeFill="accent3" w:themeFillTint="19"/>
    </w:tcPr>
    <w:tblStylePr w:type="firstRow">
      <w:rPr>
        <w:b/>
        <w:bCs/>
        <w:color w:val="FFFFFF" w:themeColor="background1"/>
      </w:rPr>
      <w:tblPr/>
      <w:tcPr>
        <w:tcBorders>
          <w:bottom w:val="single" w:sz="12" w:space="0" w:color="FFFFFF" w:themeColor="background1"/>
        </w:tcBorders>
        <w:shd w:val="clear" w:color="auto" w:fill="DB63DB" w:themeFill="accent4" w:themeFillShade="CC"/>
      </w:tcPr>
    </w:tblStylePr>
    <w:tblStylePr w:type="lastRow">
      <w:rPr>
        <w:b/>
        <w:bCs/>
        <w:color w:val="DB63DB" w:themeColor="accent4"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4FC" w:themeFill="accent3" w:themeFillTint="3F"/>
      </w:tcPr>
    </w:tblStylePr>
    <w:tblStylePr w:type="band1Horz">
      <w:tblPr/>
      <w:tcPr>
        <w:shd w:val="clear" w:color="auto" w:fill="E7E9FC" w:themeFill="accent3" w:themeFillTint="33"/>
      </w:tcPr>
    </w:tblStylePr>
  </w:style>
  <w:style w:type="table" w:styleId="ColorfulListAccent4">
    <w:name w:val="Colorful List Accent 4"/>
    <w:basedOn w:val="TableNormal"/>
    <w:uiPriority w:val="72"/>
    <w:semiHidden/>
    <w:rsid w:val="000141F7"/>
    <w:rPr>
      <w:color w:val="303030" w:themeColor="text1"/>
    </w:rPr>
    <w:tblPr>
      <w:tblStyleRowBandSize w:val="1"/>
      <w:tblStyleColBandSize w:val="1"/>
    </w:tblPr>
    <w:tcPr>
      <w:shd w:val="clear" w:color="auto" w:fill="FDF6FD" w:themeFill="accent4" w:themeFillTint="19"/>
    </w:tcPr>
    <w:tblStylePr w:type="firstRow">
      <w:rPr>
        <w:b/>
        <w:bCs/>
        <w:color w:val="FFFFFF" w:themeColor="background1"/>
      </w:rPr>
      <w:tblPr/>
      <w:tcPr>
        <w:tcBorders>
          <w:bottom w:val="single" w:sz="12" w:space="0" w:color="FFFFFF" w:themeColor="background1"/>
        </w:tcBorders>
        <w:shd w:val="clear" w:color="auto" w:fill="4357ED" w:themeFill="accent3" w:themeFillShade="CC"/>
      </w:tcPr>
    </w:tblStylePr>
    <w:tblStylePr w:type="lastRow">
      <w:rPr>
        <w:b/>
        <w:bCs/>
        <w:color w:val="4357ED" w:themeColor="accent3"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8F9" w:themeFill="accent4" w:themeFillTint="3F"/>
      </w:tcPr>
    </w:tblStylePr>
    <w:tblStylePr w:type="band1Horz">
      <w:tblPr/>
      <w:tcPr>
        <w:shd w:val="clear" w:color="auto" w:fill="FAECFA" w:themeFill="accent4" w:themeFillTint="33"/>
      </w:tcPr>
    </w:tblStylePr>
  </w:style>
  <w:style w:type="table" w:styleId="ColorfulListAccent5">
    <w:name w:val="Colorful List Accent 5"/>
    <w:basedOn w:val="TableNormal"/>
    <w:uiPriority w:val="72"/>
    <w:semiHidden/>
    <w:rsid w:val="000141F7"/>
    <w:rPr>
      <w:color w:val="303030" w:themeColor="text1"/>
    </w:rPr>
    <w:tblPr>
      <w:tblStyleRowBandSize w:val="1"/>
      <w:tblStyleColBandSize w:val="1"/>
    </w:tblPr>
    <w:tcPr>
      <w:shd w:val="clear" w:color="auto" w:fill="FEF4F5" w:themeFill="accent5" w:themeFillTint="19"/>
    </w:tcPr>
    <w:tblStylePr w:type="firstRow">
      <w:rPr>
        <w:b/>
        <w:bCs/>
        <w:color w:val="FFFFFF" w:themeColor="background1"/>
      </w:rPr>
      <w:tblPr/>
      <w:tcPr>
        <w:tcBorders>
          <w:bottom w:val="single" w:sz="12" w:space="0" w:color="FFFFFF" w:themeColor="background1"/>
        </w:tcBorders>
        <w:shd w:val="clear" w:color="auto" w:fill="71DFB0" w:themeFill="accent6" w:themeFillShade="CC"/>
      </w:tcPr>
    </w:tblStylePr>
    <w:tblStylePr w:type="lastRow">
      <w:rPr>
        <w:b/>
        <w:bCs/>
        <w:color w:val="71DFB0" w:themeColor="accent6"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4E6" w:themeFill="accent5" w:themeFillTint="3F"/>
      </w:tcPr>
    </w:tblStylePr>
    <w:tblStylePr w:type="band1Horz">
      <w:tblPr/>
      <w:tcPr>
        <w:shd w:val="clear" w:color="auto" w:fill="FEE9EA" w:themeFill="accent5" w:themeFillTint="33"/>
      </w:tcPr>
    </w:tblStylePr>
  </w:style>
  <w:style w:type="table" w:styleId="ColorfulListAccent6">
    <w:name w:val="Colorful List Accent 6"/>
    <w:basedOn w:val="TableNormal"/>
    <w:uiPriority w:val="72"/>
    <w:semiHidden/>
    <w:rsid w:val="000141F7"/>
    <w:rPr>
      <w:color w:val="303030" w:themeColor="text1"/>
    </w:rPr>
    <w:tblPr>
      <w:tblStyleRowBandSize w:val="1"/>
      <w:tblStyleColBandSize w:val="1"/>
    </w:tblPr>
    <w:tcPr>
      <w:shd w:val="clear" w:color="auto" w:fill="F7FDFB" w:themeFill="accent6" w:themeFillTint="19"/>
    </w:tcPr>
    <w:tblStylePr w:type="firstRow">
      <w:rPr>
        <w:b/>
        <w:bCs/>
        <w:color w:val="FFFFFF" w:themeColor="background1"/>
      </w:rPr>
      <w:tblPr/>
      <w:tcPr>
        <w:tcBorders>
          <w:bottom w:val="single" w:sz="12" w:space="0" w:color="FFFFFF" w:themeColor="background1"/>
        </w:tcBorders>
        <w:shd w:val="clear" w:color="auto" w:fill="FB4650" w:themeFill="accent5" w:themeFillShade="CC"/>
      </w:tcPr>
    </w:tblStylePr>
    <w:tblStylePr w:type="lastRow">
      <w:rPr>
        <w:b/>
        <w:bCs/>
        <w:color w:val="FB4650" w:themeColor="accent5"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BF4" w:themeFill="accent6" w:themeFillTint="3F"/>
      </w:tcPr>
    </w:tblStylePr>
    <w:tblStylePr w:type="band1Horz">
      <w:tblPr/>
      <w:tcPr>
        <w:shd w:val="clear" w:color="auto" w:fill="F0FBF6" w:themeFill="accent6" w:themeFillTint="33"/>
      </w:tcPr>
    </w:tblStylePr>
  </w:style>
  <w:style w:type="table" w:styleId="ColorfulShading">
    <w:name w:val="Colorful Shading"/>
    <w:basedOn w:val="TableNormal"/>
    <w:uiPriority w:val="71"/>
    <w:semiHidden/>
    <w:rsid w:val="000141F7"/>
    <w:rPr>
      <w:color w:val="303030" w:themeColor="text1"/>
    </w:rPr>
    <w:tblPr>
      <w:tblStyleRowBandSize w:val="1"/>
      <w:tblStyleColBandSize w:val="1"/>
      <w:tblBorders>
        <w:top w:val="single" w:sz="24" w:space="0" w:color="53C2E5" w:themeColor="accent2"/>
        <w:left w:val="single" w:sz="4" w:space="0" w:color="303030" w:themeColor="text1"/>
        <w:bottom w:val="single" w:sz="4" w:space="0" w:color="303030" w:themeColor="text1"/>
        <w:right w:val="single" w:sz="4" w:space="0" w:color="303030" w:themeColor="text1"/>
        <w:insideH w:val="single" w:sz="4" w:space="0" w:color="FFFFFF" w:themeColor="background1"/>
        <w:insideV w:val="single" w:sz="4" w:space="0" w:color="FFFFFF" w:themeColor="background1"/>
      </w:tblBorders>
    </w:tblPr>
    <w:tcPr>
      <w:shd w:val="clear" w:color="auto" w:fill="EAEAEA" w:themeFill="text1" w:themeFillTint="19"/>
    </w:tcPr>
    <w:tblStylePr w:type="firstRow">
      <w:rPr>
        <w:b/>
        <w:bCs/>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1C1C" w:themeFill="text1" w:themeFillShade="99"/>
      </w:tcPr>
    </w:tblStylePr>
    <w:tblStylePr w:type="firstCol">
      <w:rPr>
        <w:color w:val="FFFFFF" w:themeColor="background1"/>
      </w:rPr>
      <w:tblPr/>
      <w:tcPr>
        <w:tcBorders>
          <w:top w:val="nil"/>
          <w:left w:val="nil"/>
          <w:bottom w:val="nil"/>
          <w:right w:val="nil"/>
          <w:insideH w:val="single" w:sz="4" w:space="0" w:color="1C1C1C" w:themeColor="text1" w:themeShade="99"/>
          <w:insideV w:val="nil"/>
        </w:tcBorders>
        <w:shd w:val="clear" w:color="auto" w:fill="1C1C1C"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32323" w:themeFill="text1" w:themeFillShade="BF"/>
      </w:tcPr>
    </w:tblStylePr>
    <w:tblStylePr w:type="band1Vert">
      <w:tblPr/>
      <w:tcPr>
        <w:shd w:val="clear" w:color="auto" w:fill="ACACAC" w:themeFill="text1" w:themeFillTint="66"/>
      </w:tcPr>
    </w:tblStylePr>
    <w:tblStylePr w:type="band1Horz">
      <w:tblPr/>
      <w:tcPr>
        <w:shd w:val="clear" w:color="auto" w:fill="979797" w:themeFill="text1" w:themeFillTint="7F"/>
      </w:tcPr>
    </w:tblStylePr>
    <w:tblStylePr w:type="neCell">
      <w:rPr>
        <w:color w:val="303030" w:themeColor="text1"/>
      </w:rPr>
    </w:tblStylePr>
    <w:tblStylePr w:type="nwCell">
      <w:rPr>
        <w:color w:val="303030" w:themeColor="text1"/>
      </w:rPr>
    </w:tblStylePr>
  </w:style>
  <w:style w:type="table" w:styleId="ColorfulShadingAccent1">
    <w:name w:val="Colorful Shading Accent 1"/>
    <w:basedOn w:val="TableNormal"/>
    <w:uiPriority w:val="71"/>
    <w:semiHidden/>
    <w:rsid w:val="000141F7"/>
    <w:rPr>
      <w:color w:val="303030" w:themeColor="text1"/>
    </w:rPr>
    <w:tblPr>
      <w:tblStyleRowBandSize w:val="1"/>
      <w:tblStyleColBandSize w:val="1"/>
      <w:tblBorders>
        <w:top w:val="single" w:sz="24" w:space="0" w:color="53C2E5" w:themeColor="accent2"/>
        <w:left w:val="single" w:sz="4" w:space="0" w:color="88E5BD" w:themeColor="accent1"/>
        <w:bottom w:val="single" w:sz="4" w:space="0" w:color="88E5BD" w:themeColor="accent1"/>
        <w:right w:val="single" w:sz="4" w:space="0" w:color="88E5BD" w:themeColor="accent1"/>
        <w:insideH w:val="single" w:sz="4" w:space="0" w:color="FFFFFF" w:themeColor="background1"/>
        <w:insideV w:val="single" w:sz="4" w:space="0" w:color="FFFFFF" w:themeColor="background1"/>
      </w:tblBorders>
    </w:tblPr>
    <w:tcPr>
      <w:shd w:val="clear" w:color="auto" w:fill="F3FCF8" w:themeFill="accent1" w:themeFillTint="19"/>
    </w:tcPr>
    <w:tblStylePr w:type="firstRow">
      <w:rPr>
        <w:b/>
        <w:bCs/>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B377" w:themeFill="accent1" w:themeFillShade="99"/>
      </w:tcPr>
    </w:tblStylePr>
    <w:tblStylePr w:type="firstCol">
      <w:rPr>
        <w:color w:val="FFFFFF" w:themeColor="background1"/>
      </w:rPr>
      <w:tblPr/>
      <w:tcPr>
        <w:tcBorders>
          <w:top w:val="nil"/>
          <w:left w:val="nil"/>
          <w:bottom w:val="nil"/>
          <w:right w:val="nil"/>
          <w:insideH w:val="single" w:sz="4" w:space="0" w:color="27B377" w:themeColor="accent1" w:themeShade="99"/>
          <w:insideV w:val="nil"/>
        </w:tcBorders>
        <w:shd w:val="clear" w:color="auto" w:fill="27B37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B377" w:themeFill="accent1" w:themeFillShade="99"/>
      </w:tcPr>
    </w:tblStylePr>
    <w:tblStylePr w:type="band1Vert">
      <w:tblPr/>
      <w:tcPr>
        <w:shd w:val="clear" w:color="auto" w:fill="CFF4E4" w:themeFill="accent1" w:themeFillTint="66"/>
      </w:tcPr>
    </w:tblStylePr>
    <w:tblStylePr w:type="band1Horz">
      <w:tblPr/>
      <w:tcPr>
        <w:shd w:val="clear" w:color="auto" w:fill="C3F2DE" w:themeFill="accent1" w:themeFillTint="7F"/>
      </w:tcPr>
    </w:tblStylePr>
    <w:tblStylePr w:type="neCell">
      <w:rPr>
        <w:color w:val="303030" w:themeColor="text1"/>
      </w:rPr>
    </w:tblStylePr>
    <w:tblStylePr w:type="nwCell">
      <w:rPr>
        <w:color w:val="303030" w:themeColor="text1"/>
      </w:rPr>
    </w:tblStylePr>
  </w:style>
  <w:style w:type="table" w:styleId="ColorfulShadingAccent2">
    <w:name w:val="Colorful Shading Accent 2"/>
    <w:basedOn w:val="TableNormal"/>
    <w:uiPriority w:val="71"/>
    <w:semiHidden/>
    <w:rsid w:val="000141F7"/>
    <w:rPr>
      <w:color w:val="303030" w:themeColor="text1"/>
    </w:rPr>
    <w:tblPr>
      <w:tblStyleRowBandSize w:val="1"/>
      <w:tblStyleColBandSize w:val="1"/>
      <w:tblBorders>
        <w:top w:val="single" w:sz="24" w:space="0" w:color="53C2E5" w:themeColor="accent2"/>
        <w:left w:val="single" w:sz="4" w:space="0" w:color="53C2E5" w:themeColor="accent2"/>
        <w:bottom w:val="single" w:sz="4" w:space="0" w:color="53C2E5" w:themeColor="accent2"/>
        <w:right w:val="single" w:sz="4" w:space="0" w:color="53C2E5" w:themeColor="accent2"/>
        <w:insideH w:val="single" w:sz="4" w:space="0" w:color="FFFFFF" w:themeColor="background1"/>
        <w:insideV w:val="single" w:sz="4" w:space="0" w:color="FFFFFF" w:themeColor="background1"/>
      </w:tblBorders>
    </w:tblPr>
    <w:tcPr>
      <w:shd w:val="clear" w:color="auto" w:fill="EDF8FC" w:themeFill="accent2" w:themeFillTint="19"/>
    </w:tcPr>
    <w:tblStylePr w:type="firstRow">
      <w:rPr>
        <w:b/>
        <w:bCs/>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80A2" w:themeFill="accent2" w:themeFillShade="99"/>
      </w:tcPr>
    </w:tblStylePr>
    <w:tblStylePr w:type="firstCol">
      <w:rPr>
        <w:color w:val="FFFFFF" w:themeColor="background1"/>
      </w:rPr>
      <w:tblPr/>
      <w:tcPr>
        <w:tcBorders>
          <w:top w:val="nil"/>
          <w:left w:val="nil"/>
          <w:bottom w:val="nil"/>
          <w:right w:val="nil"/>
          <w:insideH w:val="single" w:sz="4" w:space="0" w:color="1880A2" w:themeColor="accent2" w:themeShade="99"/>
          <w:insideV w:val="nil"/>
        </w:tcBorders>
        <w:shd w:val="clear" w:color="auto" w:fill="1880A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880A2" w:themeFill="accent2" w:themeFillShade="99"/>
      </w:tcPr>
    </w:tblStylePr>
    <w:tblStylePr w:type="band1Vert">
      <w:tblPr/>
      <w:tcPr>
        <w:shd w:val="clear" w:color="auto" w:fill="BAE6F4" w:themeFill="accent2" w:themeFillTint="66"/>
      </w:tcPr>
    </w:tblStylePr>
    <w:tblStylePr w:type="band1Horz">
      <w:tblPr/>
      <w:tcPr>
        <w:shd w:val="clear" w:color="auto" w:fill="A9E0F2" w:themeFill="accent2" w:themeFillTint="7F"/>
      </w:tcPr>
    </w:tblStylePr>
    <w:tblStylePr w:type="neCell">
      <w:rPr>
        <w:color w:val="303030" w:themeColor="text1"/>
      </w:rPr>
    </w:tblStylePr>
    <w:tblStylePr w:type="nwCell">
      <w:rPr>
        <w:color w:val="303030" w:themeColor="text1"/>
      </w:rPr>
    </w:tblStylePr>
  </w:style>
  <w:style w:type="table" w:styleId="ColorfulShadingAccent3">
    <w:name w:val="Colorful Shading Accent 3"/>
    <w:basedOn w:val="TableNormal"/>
    <w:uiPriority w:val="71"/>
    <w:semiHidden/>
    <w:rsid w:val="000141F7"/>
    <w:rPr>
      <w:color w:val="303030" w:themeColor="text1"/>
    </w:rPr>
    <w:tblPr>
      <w:tblStyleRowBandSize w:val="1"/>
      <w:tblStyleColBandSize w:val="1"/>
      <w:tblBorders>
        <w:top w:val="single" w:sz="24" w:space="0" w:color="EAA4EA" w:themeColor="accent4"/>
        <w:left w:val="single" w:sz="4" w:space="0" w:color="8996F4" w:themeColor="accent3"/>
        <w:bottom w:val="single" w:sz="4" w:space="0" w:color="8996F4" w:themeColor="accent3"/>
        <w:right w:val="single" w:sz="4" w:space="0" w:color="8996F4" w:themeColor="accent3"/>
        <w:insideH w:val="single" w:sz="4" w:space="0" w:color="FFFFFF" w:themeColor="background1"/>
        <w:insideV w:val="single" w:sz="4" w:space="0" w:color="FFFFFF" w:themeColor="background1"/>
      </w:tblBorders>
    </w:tblPr>
    <w:tcPr>
      <w:shd w:val="clear" w:color="auto" w:fill="F3F4FE" w:themeFill="accent3" w:themeFillTint="19"/>
    </w:tcPr>
    <w:tblStylePr w:type="firstRow">
      <w:rPr>
        <w:b/>
        <w:bCs/>
      </w:rPr>
      <w:tblPr/>
      <w:tcPr>
        <w:tcBorders>
          <w:top w:val="nil"/>
          <w:left w:val="nil"/>
          <w:bottom w:val="single" w:sz="24" w:space="0" w:color="EAA4E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9D0" w:themeFill="accent3" w:themeFillShade="99"/>
      </w:tcPr>
    </w:tblStylePr>
    <w:tblStylePr w:type="firstCol">
      <w:rPr>
        <w:color w:val="FFFFFF" w:themeColor="background1"/>
      </w:rPr>
      <w:tblPr/>
      <w:tcPr>
        <w:tcBorders>
          <w:top w:val="nil"/>
          <w:left w:val="nil"/>
          <w:bottom w:val="nil"/>
          <w:right w:val="nil"/>
          <w:insideH w:val="single" w:sz="4" w:space="0" w:color="1329D0" w:themeColor="accent3" w:themeShade="99"/>
          <w:insideV w:val="nil"/>
        </w:tcBorders>
        <w:shd w:val="clear" w:color="auto" w:fill="1329D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29D0" w:themeFill="accent3" w:themeFillShade="99"/>
      </w:tcPr>
    </w:tblStylePr>
    <w:tblStylePr w:type="band1Vert">
      <w:tblPr/>
      <w:tcPr>
        <w:shd w:val="clear" w:color="auto" w:fill="CFD4FA" w:themeFill="accent3" w:themeFillTint="66"/>
      </w:tcPr>
    </w:tblStylePr>
    <w:tblStylePr w:type="band1Horz">
      <w:tblPr/>
      <w:tcPr>
        <w:shd w:val="clear" w:color="auto" w:fill="C4CAF9" w:themeFill="accent3" w:themeFillTint="7F"/>
      </w:tcPr>
    </w:tblStylePr>
  </w:style>
  <w:style w:type="table" w:styleId="ColorfulShadingAccent4">
    <w:name w:val="Colorful Shading Accent 4"/>
    <w:basedOn w:val="TableNormal"/>
    <w:uiPriority w:val="71"/>
    <w:semiHidden/>
    <w:rsid w:val="000141F7"/>
    <w:rPr>
      <w:color w:val="303030" w:themeColor="text1"/>
    </w:rPr>
    <w:tblPr>
      <w:tblStyleRowBandSize w:val="1"/>
      <w:tblStyleColBandSize w:val="1"/>
      <w:tblBorders>
        <w:top w:val="single" w:sz="24" w:space="0" w:color="8996F4" w:themeColor="accent3"/>
        <w:left w:val="single" w:sz="4" w:space="0" w:color="EAA4EA" w:themeColor="accent4"/>
        <w:bottom w:val="single" w:sz="4" w:space="0" w:color="EAA4EA" w:themeColor="accent4"/>
        <w:right w:val="single" w:sz="4" w:space="0" w:color="EAA4EA" w:themeColor="accent4"/>
        <w:insideH w:val="single" w:sz="4" w:space="0" w:color="FFFFFF" w:themeColor="background1"/>
        <w:insideV w:val="single" w:sz="4" w:space="0" w:color="FFFFFF" w:themeColor="background1"/>
      </w:tblBorders>
    </w:tblPr>
    <w:tcPr>
      <w:shd w:val="clear" w:color="auto" w:fill="FDF6FD" w:themeFill="accent4" w:themeFillTint="19"/>
    </w:tcPr>
    <w:tblStylePr w:type="firstRow">
      <w:rPr>
        <w:b/>
        <w:bCs/>
      </w:rPr>
      <w:tblPr/>
      <w:tcPr>
        <w:tcBorders>
          <w:top w:val="nil"/>
          <w:left w:val="nil"/>
          <w:bottom w:val="single" w:sz="24" w:space="0" w:color="8996F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2CC1" w:themeFill="accent4" w:themeFillShade="99"/>
      </w:tcPr>
    </w:tblStylePr>
    <w:tblStylePr w:type="firstCol">
      <w:rPr>
        <w:color w:val="FFFFFF" w:themeColor="background1"/>
      </w:rPr>
      <w:tblPr/>
      <w:tcPr>
        <w:tcBorders>
          <w:top w:val="nil"/>
          <w:left w:val="nil"/>
          <w:bottom w:val="nil"/>
          <w:right w:val="nil"/>
          <w:insideH w:val="single" w:sz="4" w:space="0" w:color="C12CC1" w:themeColor="accent4" w:themeShade="99"/>
          <w:insideV w:val="nil"/>
        </w:tcBorders>
        <w:shd w:val="clear" w:color="auto" w:fill="C12CC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12CC1" w:themeFill="accent4" w:themeFillShade="99"/>
      </w:tcPr>
    </w:tblStylePr>
    <w:tblStylePr w:type="band1Vert">
      <w:tblPr/>
      <w:tcPr>
        <w:shd w:val="clear" w:color="auto" w:fill="F6DAF6" w:themeFill="accent4" w:themeFillTint="66"/>
      </w:tcPr>
    </w:tblStylePr>
    <w:tblStylePr w:type="band1Horz">
      <w:tblPr/>
      <w:tcPr>
        <w:shd w:val="clear" w:color="auto" w:fill="F4D1F4" w:themeFill="accent4" w:themeFillTint="7F"/>
      </w:tcPr>
    </w:tblStylePr>
    <w:tblStylePr w:type="neCell">
      <w:rPr>
        <w:color w:val="303030" w:themeColor="text1"/>
      </w:rPr>
    </w:tblStylePr>
    <w:tblStylePr w:type="nwCell">
      <w:rPr>
        <w:color w:val="303030" w:themeColor="text1"/>
      </w:rPr>
    </w:tblStylePr>
  </w:style>
  <w:style w:type="table" w:styleId="ColorfulShadingAccent5">
    <w:name w:val="Colorful Shading Accent 5"/>
    <w:basedOn w:val="TableNormal"/>
    <w:uiPriority w:val="71"/>
    <w:semiHidden/>
    <w:rsid w:val="000141F7"/>
    <w:rPr>
      <w:color w:val="303030" w:themeColor="text1"/>
    </w:rPr>
    <w:tblPr>
      <w:tblStyleRowBandSize w:val="1"/>
      <w:tblStyleColBandSize w:val="1"/>
      <w:tblBorders>
        <w:top w:val="single" w:sz="24" w:space="0" w:color="B7EFD7" w:themeColor="accent6"/>
        <w:left w:val="single" w:sz="4" w:space="0" w:color="FD969C" w:themeColor="accent5"/>
        <w:bottom w:val="single" w:sz="4" w:space="0" w:color="FD969C" w:themeColor="accent5"/>
        <w:right w:val="single" w:sz="4" w:space="0" w:color="FD969C" w:themeColor="accent5"/>
        <w:insideH w:val="single" w:sz="4" w:space="0" w:color="FFFFFF" w:themeColor="background1"/>
        <w:insideV w:val="single" w:sz="4" w:space="0" w:color="FFFFFF" w:themeColor="background1"/>
      </w:tblBorders>
    </w:tblPr>
    <w:tcPr>
      <w:shd w:val="clear" w:color="auto" w:fill="FEF4F5" w:themeFill="accent5" w:themeFillTint="19"/>
    </w:tcPr>
    <w:tblStylePr w:type="firstRow">
      <w:rPr>
        <w:b/>
        <w:bCs/>
      </w:rPr>
      <w:tblPr/>
      <w:tcPr>
        <w:tcBorders>
          <w:top w:val="nil"/>
          <w:left w:val="nil"/>
          <w:bottom w:val="single" w:sz="24" w:space="0" w:color="B7EF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D0411" w:themeFill="accent5" w:themeFillShade="99"/>
      </w:tcPr>
    </w:tblStylePr>
    <w:tblStylePr w:type="firstCol">
      <w:rPr>
        <w:color w:val="FFFFFF" w:themeColor="background1"/>
      </w:rPr>
      <w:tblPr/>
      <w:tcPr>
        <w:tcBorders>
          <w:top w:val="nil"/>
          <w:left w:val="nil"/>
          <w:bottom w:val="nil"/>
          <w:right w:val="nil"/>
          <w:insideH w:val="single" w:sz="4" w:space="0" w:color="ED0411" w:themeColor="accent5" w:themeShade="99"/>
          <w:insideV w:val="nil"/>
        </w:tcBorders>
        <w:shd w:val="clear" w:color="auto" w:fill="ED041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D0411" w:themeFill="accent5" w:themeFillShade="99"/>
      </w:tcPr>
    </w:tblStylePr>
    <w:tblStylePr w:type="band1Vert">
      <w:tblPr/>
      <w:tcPr>
        <w:shd w:val="clear" w:color="auto" w:fill="FED4D6" w:themeFill="accent5" w:themeFillTint="66"/>
      </w:tcPr>
    </w:tblStylePr>
    <w:tblStylePr w:type="band1Horz">
      <w:tblPr/>
      <w:tcPr>
        <w:shd w:val="clear" w:color="auto" w:fill="FECACD" w:themeFill="accent5" w:themeFillTint="7F"/>
      </w:tcPr>
    </w:tblStylePr>
    <w:tblStylePr w:type="neCell">
      <w:rPr>
        <w:color w:val="303030" w:themeColor="text1"/>
      </w:rPr>
    </w:tblStylePr>
    <w:tblStylePr w:type="nwCell">
      <w:rPr>
        <w:color w:val="303030" w:themeColor="text1"/>
      </w:rPr>
    </w:tblStylePr>
  </w:style>
  <w:style w:type="table" w:styleId="ColorfulShadingAccent6">
    <w:name w:val="Colorful Shading Accent 6"/>
    <w:basedOn w:val="TableNormal"/>
    <w:uiPriority w:val="71"/>
    <w:semiHidden/>
    <w:rsid w:val="000141F7"/>
    <w:rPr>
      <w:color w:val="303030" w:themeColor="text1"/>
    </w:rPr>
    <w:tblPr>
      <w:tblStyleRowBandSize w:val="1"/>
      <w:tblStyleColBandSize w:val="1"/>
      <w:tblBorders>
        <w:top w:val="single" w:sz="24" w:space="0" w:color="FD969C" w:themeColor="accent5"/>
        <w:left w:val="single" w:sz="4" w:space="0" w:color="B7EFD7" w:themeColor="accent6"/>
        <w:bottom w:val="single" w:sz="4" w:space="0" w:color="B7EFD7" w:themeColor="accent6"/>
        <w:right w:val="single" w:sz="4" w:space="0" w:color="B7EFD7" w:themeColor="accent6"/>
        <w:insideH w:val="single" w:sz="4" w:space="0" w:color="FFFFFF" w:themeColor="background1"/>
        <w:insideV w:val="single" w:sz="4" w:space="0" w:color="FFFFFF" w:themeColor="background1"/>
      </w:tblBorders>
    </w:tblPr>
    <w:tcPr>
      <w:shd w:val="clear" w:color="auto" w:fill="F7FDFB" w:themeFill="accent6" w:themeFillTint="19"/>
    </w:tcPr>
    <w:tblStylePr w:type="firstRow">
      <w:rPr>
        <w:b/>
        <w:bCs/>
      </w:rPr>
      <w:tblPr/>
      <w:tcPr>
        <w:tcBorders>
          <w:top w:val="nil"/>
          <w:left w:val="nil"/>
          <w:bottom w:val="single" w:sz="24" w:space="0" w:color="FD969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CE89" w:themeFill="accent6" w:themeFillShade="99"/>
      </w:tcPr>
    </w:tblStylePr>
    <w:tblStylePr w:type="firstCol">
      <w:rPr>
        <w:color w:val="FFFFFF" w:themeColor="background1"/>
      </w:rPr>
      <w:tblPr/>
      <w:tcPr>
        <w:tcBorders>
          <w:top w:val="nil"/>
          <w:left w:val="nil"/>
          <w:bottom w:val="nil"/>
          <w:right w:val="nil"/>
          <w:insideH w:val="single" w:sz="4" w:space="0" w:color="2ECE89" w:themeColor="accent6" w:themeShade="99"/>
          <w:insideV w:val="nil"/>
        </w:tcBorders>
        <w:shd w:val="clear" w:color="auto" w:fill="2ECE8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CE89" w:themeFill="accent6" w:themeFillShade="99"/>
      </w:tcPr>
    </w:tblStylePr>
    <w:tblStylePr w:type="band1Vert">
      <w:tblPr/>
      <w:tcPr>
        <w:shd w:val="clear" w:color="auto" w:fill="E2F8EE" w:themeFill="accent6" w:themeFillTint="66"/>
      </w:tcPr>
    </w:tblStylePr>
    <w:tblStylePr w:type="band1Horz">
      <w:tblPr/>
      <w:tcPr>
        <w:shd w:val="clear" w:color="auto" w:fill="DBF7EA" w:themeFill="accent6" w:themeFillTint="7F"/>
      </w:tcPr>
    </w:tblStylePr>
    <w:tblStylePr w:type="neCell">
      <w:rPr>
        <w:color w:val="303030" w:themeColor="text1"/>
      </w:rPr>
    </w:tblStylePr>
    <w:tblStylePr w:type="nwCell">
      <w:rPr>
        <w:color w:val="303030" w:themeColor="text1"/>
      </w:rPr>
    </w:tblStylePr>
  </w:style>
  <w:style w:type="character" w:styleId="CommentReference">
    <w:name w:val="annotation reference"/>
    <w:basedOn w:val="DefaultParagraphFont"/>
    <w:uiPriority w:val="59"/>
    <w:semiHidden/>
    <w:rsid w:val="000141F7"/>
    <w:rPr>
      <w:sz w:val="16"/>
      <w:szCs w:val="16"/>
    </w:rPr>
  </w:style>
  <w:style w:type="paragraph" w:styleId="CommentSubject">
    <w:name w:val="annotation subject"/>
    <w:basedOn w:val="CommentText"/>
    <w:next w:val="CommentText"/>
    <w:link w:val="CommentSubjectChar"/>
    <w:uiPriority w:val="99"/>
    <w:semiHidden/>
    <w:rsid w:val="000141F7"/>
    <w:rPr>
      <w:b/>
      <w:bCs/>
    </w:rPr>
  </w:style>
  <w:style w:type="character" w:customStyle="1" w:styleId="CommentSubjectChar">
    <w:name w:val="Comment Subject Char"/>
    <w:basedOn w:val="CommentTextChar"/>
    <w:link w:val="CommentSubject"/>
    <w:uiPriority w:val="99"/>
    <w:rsid w:val="000141F7"/>
    <w:rPr>
      <w:rFonts w:eastAsiaTheme="minorHAnsi" w:cstheme="minorBidi"/>
      <w:b/>
      <w:bCs/>
      <w:sz w:val="20"/>
      <w:szCs w:val="20"/>
      <w:lang w:eastAsia="en-US"/>
    </w:rPr>
  </w:style>
  <w:style w:type="table" w:styleId="DarkList">
    <w:name w:val="Dark List"/>
    <w:basedOn w:val="TableNormal"/>
    <w:uiPriority w:val="70"/>
    <w:semiHidden/>
    <w:rsid w:val="000141F7"/>
    <w:rPr>
      <w:color w:val="FFFFFF" w:themeColor="background1"/>
    </w:rPr>
    <w:tblPr>
      <w:tblStyleRowBandSize w:val="1"/>
      <w:tblStyleColBandSize w:val="1"/>
    </w:tblPr>
    <w:tcPr>
      <w:shd w:val="clear" w:color="auto" w:fill="303030" w:themeFill="tex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7171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32323"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32323" w:themeFill="text1" w:themeFillShade="BF"/>
      </w:tcPr>
    </w:tblStylePr>
    <w:tblStylePr w:type="band1Vert">
      <w:tblPr/>
      <w:tcPr>
        <w:tcBorders>
          <w:top w:val="nil"/>
          <w:left w:val="nil"/>
          <w:bottom w:val="nil"/>
          <w:right w:val="nil"/>
          <w:insideH w:val="nil"/>
          <w:insideV w:val="nil"/>
        </w:tcBorders>
        <w:shd w:val="clear" w:color="auto" w:fill="232323" w:themeFill="text1" w:themeFillShade="BF"/>
      </w:tcPr>
    </w:tblStylePr>
    <w:tblStylePr w:type="band1Horz">
      <w:tblPr/>
      <w:tcPr>
        <w:tcBorders>
          <w:top w:val="nil"/>
          <w:left w:val="nil"/>
          <w:bottom w:val="nil"/>
          <w:right w:val="nil"/>
          <w:insideH w:val="nil"/>
          <w:insideV w:val="nil"/>
        </w:tcBorders>
        <w:shd w:val="clear" w:color="auto" w:fill="232323" w:themeFill="text1" w:themeFillShade="BF"/>
      </w:tcPr>
    </w:tblStylePr>
  </w:style>
  <w:style w:type="table" w:styleId="DarkListAccent1">
    <w:name w:val="Dark List Accent 1"/>
    <w:basedOn w:val="TableNormal"/>
    <w:uiPriority w:val="70"/>
    <w:semiHidden/>
    <w:rsid w:val="000141F7"/>
    <w:rPr>
      <w:color w:val="FFFFFF" w:themeColor="background1"/>
    </w:rPr>
    <w:tblPr>
      <w:tblStyleRowBandSize w:val="1"/>
      <w:tblStyleColBandSize w:val="1"/>
    </w:tblPr>
    <w:tcPr>
      <w:shd w:val="clear" w:color="auto" w:fill="88E5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20956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D49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D493" w:themeFill="accent1" w:themeFillShade="BF"/>
      </w:tcPr>
    </w:tblStylePr>
    <w:tblStylePr w:type="band1Vert">
      <w:tblPr/>
      <w:tcPr>
        <w:tcBorders>
          <w:top w:val="nil"/>
          <w:left w:val="nil"/>
          <w:bottom w:val="nil"/>
          <w:right w:val="nil"/>
          <w:insideH w:val="nil"/>
          <w:insideV w:val="nil"/>
        </w:tcBorders>
        <w:shd w:val="clear" w:color="auto" w:fill="3CD493" w:themeFill="accent1" w:themeFillShade="BF"/>
      </w:tcPr>
    </w:tblStylePr>
    <w:tblStylePr w:type="band1Horz">
      <w:tblPr/>
      <w:tcPr>
        <w:tcBorders>
          <w:top w:val="nil"/>
          <w:left w:val="nil"/>
          <w:bottom w:val="nil"/>
          <w:right w:val="nil"/>
          <w:insideH w:val="nil"/>
          <w:insideV w:val="nil"/>
        </w:tcBorders>
        <w:shd w:val="clear" w:color="auto" w:fill="3CD493" w:themeFill="accent1" w:themeFillShade="BF"/>
      </w:tcPr>
    </w:tblStylePr>
  </w:style>
  <w:style w:type="table" w:styleId="DarkListAccent2">
    <w:name w:val="Dark List Accent 2"/>
    <w:basedOn w:val="TableNormal"/>
    <w:uiPriority w:val="70"/>
    <w:semiHidden/>
    <w:rsid w:val="000141F7"/>
    <w:rPr>
      <w:color w:val="FFFFFF" w:themeColor="background1"/>
    </w:rPr>
    <w:tblPr>
      <w:tblStyleRowBandSize w:val="1"/>
      <w:tblStyleColBandSize w:val="1"/>
    </w:tblPr>
    <w:tcPr>
      <w:shd w:val="clear" w:color="auto" w:fill="53C2E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46B8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A1C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A1CA" w:themeFill="accent2" w:themeFillShade="BF"/>
      </w:tcPr>
    </w:tblStylePr>
    <w:tblStylePr w:type="band1Vert">
      <w:tblPr/>
      <w:tcPr>
        <w:tcBorders>
          <w:top w:val="nil"/>
          <w:left w:val="nil"/>
          <w:bottom w:val="nil"/>
          <w:right w:val="nil"/>
          <w:insideH w:val="nil"/>
          <w:insideV w:val="nil"/>
        </w:tcBorders>
        <w:shd w:val="clear" w:color="auto" w:fill="1EA1CA" w:themeFill="accent2" w:themeFillShade="BF"/>
      </w:tcPr>
    </w:tblStylePr>
    <w:tblStylePr w:type="band1Horz">
      <w:tblPr/>
      <w:tcPr>
        <w:tcBorders>
          <w:top w:val="nil"/>
          <w:left w:val="nil"/>
          <w:bottom w:val="nil"/>
          <w:right w:val="nil"/>
          <w:insideH w:val="nil"/>
          <w:insideV w:val="nil"/>
        </w:tcBorders>
        <w:shd w:val="clear" w:color="auto" w:fill="1EA1CA" w:themeFill="accent2" w:themeFillShade="BF"/>
      </w:tcPr>
    </w:tblStylePr>
  </w:style>
  <w:style w:type="table" w:styleId="DarkListAccent3">
    <w:name w:val="Dark List Accent 3"/>
    <w:basedOn w:val="TableNormal"/>
    <w:uiPriority w:val="70"/>
    <w:semiHidden/>
    <w:rsid w:val="000141F7"/>
    <w:rPr>
      <w:color w:val="FFFFFF" w:themeColor="background1"/>
    </w:rPr>
    <w:tblPr>
      <w:tblStyleRowBandSize w:val="1"/>
      <w:tblStyleColBandSize w:val="1"/>
    </w:tblPr>
    <w:tcPr>
      <w:shd w:val="clear" w:color="auto" w:fill="8996F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022A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147E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147EC" w:themeFill="accent3" w:themeFillShade="BF"/>
      </w:tcPr>
    </w:tblStylePr>
    <w:tblStylePr w:type="band1Vert">
      <w:tblPr/>
      <w:tcPr>
        <w:tcBorders>
          <w:top w:val="nil"/>
          <w:left w:val="nil"/>
          <w:bottom w:val="nil"/>
          <w:right w:val="nil"/>
          <w:insideH w:val="nil"/>
          <w:insideV w:val="nil"/>
        </w:tcBorders>
        <w:shd w:val="clear" w:color="auto" w:fill="3147EC" w:themeFill="accent3" w:themeFillShade="BF"/>
      </w:tcPr>
    </w:tblStylePr>
    <w:tblStylePr w:type="band1Horz">
      <w:tblPr/>
      <w:tcPr>
        <w:tcBorders>
          <w:top w:val="nil"/>
          <w:left w:val="nil"/>
          <w:bottom w:val="nil"/>
          <w:right w:val="nil"/>
          <w:insideH w:val="nil"/>
          <w:insideV w:val="nil"/>
        </w:tcBorders>
        <w:shd w:val="clear" w:color="auto" w:fill="3147EC" w:themeFill="accent3" w:themeFillShade="BF"/>
      </w:tcPr>
    </w:tblStylePr>
  </w:style>
  <w:style w:type="table" w:styleId="DarkListAccent4">
    <w:name w:val="Dark List Accent 4"/>
    <w:basedOn w:val="TableNormal"/>
    <w:uiPriority w:val="70"/>
    <w:semiHidden/>
    <w:rsid w:val="000141F7"/>
    <w:rPr>
      <w:color w:val="FFFFFF" w:themeColor="background1"/>
    </w:rPr>
    <w:tblPr>
      <w:tblStyleRowBandSize w:val="1"/>
      <w:tblStyleColBandSize w:val="1"/>
    </w:tblPr>
    <w:tcPr>
      <w:shd w:val="clear" w:color="auto" w:fill="EAA4E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A025A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752D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752D7" w:themeFill="accent4" w:themeFillShade="BF"/>
      </w:tcPr>
    </w:tblStylePr>
    <w:tblStylePr w:type="band1Vert">
      <w:tblPr/>
      <w:tcPr>
        <w:tcBorders>
          <w:top w:val="nil"/>
          <w:left w:val="nil"/>
          <w:bottom w:val="nil"/>
          <w:right w:val="nil"/>
          <w:insideH w:val="nil"/>
          <w:insideV w:val="nil"/>
        </w:tcBorders>
        <w:shd w:val="clear" w:color="auto" w:fill="D752D7" w:themeFill="accent4" w:themeFillShade="BF"/>
      </w:tcPr>
    </w:tblStylePr>
    <w:tblStylePr w:type="band1Horz">
      <w:tblPr/>
      <w:tcPr>
        <w:tcBorders>
          <w:top w:val="nil"/>
          <w:left w:val="nil"/>
          <w:bottom w:val="nil"/>
          <w:right w:val="nil"/>
          <w:insideH w:val="nil"/>
          <w:insideV w:val="nil"/>
        </w:tcBorders>
        <w:shd w:val="clear" w:color="auto" w:fill="D752D7" w:themeFill="accent4" w:themeFillShade="BF"/>
      </w:tcPr>
    </w:tblStylePr>
  </w:style>
  <w:style w:type="table" w:styleId="DarkListAccent5">
    <w:name w:val="Dark List Accent 5"/>
    <w:basedOn w:val="TableNormal"/>
    <w:uiPriority w:val="70"/>
    <w:semiHidden/>
    <w:rsid w:val="000141F7"/>
    <w:rPr>
      <w:color w:val="FFFFFF" w:themeColor="background1"/>
    </w:rPr>
    <w:tblPr>
      <w:tblStyleRowBandSize w:val="1"/>
      <w:tblStyleColBandSize w:val="1"/>
    </w:tblPr>
    <w:tcPr>
      <w:shd w:val="clear" w:color="auto" w:fill="FD969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C4030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B323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B323D" w:themeFill="accent5" w:themeFillShade="BF"/>
      </w:tcPr>
    </w:tblStylePr>
    <w:tblStylePr w:type="band1Vert">
      <w:tblPr/>
      <w:tcPr>
        <w:tcBorders>
          <w:top w:val="nil"/>
          <w:left w:val="nil"/>
          <w:bottom w:val="nil"/>
          <w:right w:val="nil"/>
          <w:insideH w:val="nil"/>
          <w:insideV w:val="nil"/>
        </w:tcBorders>
        <w:shd w:val="clear" w:color="auto" w:fill="FB323D" w:themeFill="accent5" w:themeFillShade="BF"/>
      </w:tcPr>
    </w:tblStylePr>
    <w:tblStylePr w:type="band1Horz">
      <w:tblPr/>
      <w:tcPr>
        <w:tcBorders>
          <w:top w:val="nil"/>
          <w:left w:val="nil"/>
          <w:bottom w:val="nil"/>
          <w:right w:val="nil"/>
          <w:insideH w:val="nil"/>
          <w:insideV w:val="nil"/>
        </w:tcBorders>
        <w:shd w:val="clear" w:color="auto" w:fill="FB323D" w:themeFill="accent5" w:themeFillShade="BF"/>
      </w:tcPr>
    </w:tblStylePr>
  </w:style>
  <w:style w:type="table" w:styleId="DarkListAccent6">
    <w:name w:val="Dark List Accent 6"/>
    <w:basedOn w:val="TableNormal"/>
    <w:uiPriority w:val="70"/>
    <w:semiHidden/>
    <w:rsid w:val="000141F7"/>
    <w:rPr>
      <w:color w:val="FFFFFF" w:themeColor="background1"/>
    </w:rPr>
    <w:tblPr>
      <w:tblStyleRowBandSize w:val="1"/>
      <w:tblStyleColBandSize w:val="1"/>
    </w:tblPr>
    <w:tcPr>
      <w:shd w:val="clear" w:color="auto" w:fill="B7EF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26AB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0DB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0DBA6" w:themeFill="accent6" w:themeFillShade="BF"/>
      </w:tcPr>
    </w:tblStylePr>
    <w:tblStylePr w:type="band1Vert">
      <w:tblPr/>
      <w:tcPr>
        <w:tcBorders>
          <w:top w:val="nil"/>
          <w:left w:val="nil"/>
          <w:bottom w:val="nil"/>
          <w:right w:val="nil"/>
          <w:insideH w:val="nil"/>
          <w:insideV w:val="nil"/>
        </w:tcBorders>
        <w:shd w:val="clear" w:color="auto" w:fill="60DBA6" w:themeFill="accent6" w:themeFillShade="BF"/>
      </w:tcPr>
    </w:tblStylePr>
    <w:tblStylePr w:type="band1Horz">
      <w:tblPr/>
      <w:tcPr>
        <w:tcBorders>
          <w:top w:val="nil"/>
          <w:left w:val="nil"/>
          <w:bottom w:val="nil"/>
          <w:right w:val="nil"/>
          <w:insideH w:val="nil"/>
          <w:insideV w:val="nil"/>
        </w:tcBorders>
        <w:shd w:val="clear" w:color="auto" w:fill="60DBA6" w:themeFill="accent6" w:themeFillShade="BF"/>
      </w:tcPr>
    </w:tblStylePr>
  </w:style>
  <w:style w:type="paragraph" w:styleId="Date">
    <w:name w:val="Date"/>
    <w:basedOn w:val="Normal"/>
    <w:next w:val="Normal"/>
    <w:link w:val="DateChar"/>
    <w:uiPriority w:val="99"/>
    <w:semiHidden/>
    <w:rsid w:val="000141F7"/>
  </w:style>
  <w:style w:type="character" w:customStyle="1" w:styleId="DateChar">
    <w:name w:val="Date Char"/>
    <w:basedOn w:val="DefaultParagraphFont"/>
    <w:link w:val="Date"/>
    <w:uiPriority w:val="99"/>
    <w:semiHidden/>
    <w:rsid w:val="000141F7"/>
    <w:rPr>
      <w:rFonts w:eastAsiaTheme="minorHAnsi" w:cstheme="minorBidi"/>
      <w:lang w:eastAsia="en-US"/>
    </w:rPr>
  </w:style>
  <w:style w:type="paragraph" w:styleId="DocumentMap">
    <w:name w:val="Document Map"/>
    <w:basedOn w:val="Normal"/>
    <w:link w:val="DocumentMapChar"/>
    <w:uiPriority w:val="99"/>
    <w:semiHidden/>
    <w:rsid w:val="000141F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141F7"/>
    <w:rPr>
      <w:rFonts w:ascii="Segoe UI" w:hAnsi="Segoe UI" w:eastAsiaTheme="minorHAnsi" w:cs="Segoe UI"/>
      <w:sz w:val="16"/>
      <w:szCs w:val="16"/>
      <w:lang w:eastAsia="en-US"/>
    </w:rPr>
  </w:style>
  <w:style w:type="paragraph" w:styleId="E-mailSignature">
    <w:name w:val="E-mail Signature"/>
    <w:basedOn w:val="Normal"/>
    <w:link w:val="E-mailSignatureChar"/>
    <w:uiPriority w:val="99"/>
    <w:semiHidden/>
    <w:rsid w:val="000141F7"/>
  </w:style>
  <w:style w:type="character" w:customStyle="1" w:styleId="E-mailSignatureChar">
    <w:name w:val="E-mail Signature Char"/>
    <w:basedOn w:val="DefaultParagraphFont"/>
    <w:link w:val="E-mailSignature"/>
    <w:uiPriority w:val="99"/>
    <w:semiHidden/>
    <w:rsid w:val="000141F7"/>
    <w:rPr>
      <w:rFonts w:eastAsiaTheme="minorHAnsi" w:cstheme="minorBidi"/>
      <w:lang w:eastAsia="en-US"/>
    </w:rPr>
  </w:style>
  <w:style w:type="character" w:styleId="Emphasis">
    <w:name w:val="Emphasis"/>
    <w:basedOn w:val="DefaultParagraphFont"/>
    <w:uiPriority w:val="20"/>
    <w:semiHidden/>
    <w:qFormat/>
    <w:rsid w:val="000141F7"/>
    <w:rPr>
      <w:i/>
      <w:iCs/>
    </w:rPr>
  </w:style>
  <w:style w:type="character" w:styleId="EndnoteReference">
    <w:name w:val="endnote reference"/>
    <w:basedOn w:val="DefaultParagraphFont"/>
    <w:uiPriority w:val="99"/>
    <w:semiHidden/>
    <w:rsid w:val="000141F7"/>
    <w:rPr>
      <w:vertAlign w:val="superscript"/>
    </w:rPr>
  </w:style>
  <w:style w:type="paragraph" w:styleId="EnvelopeAddress">
    <w:name w:val="envelope address"/>
    <w:basedOn w:val="Normal"/>
    <w:uiPriority w:val="99"/>
    <w:semiHidden/>
    <w:rsid w:val="000141F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0141F7"/>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0141F7"/>
    <w:rPr>
      <w:color w:val="954F72" w:themeColor="followedHyperlink"/>
      <w:u w:val="single"/>
    </w:rPr>
  </w:style>
  <w:style w:type="table" w:styleId="GridTable1Light">
    <w:name w:val="Grid Table 1 Light"/>
    <w:basedOn w:val="TableNormal"/>
    <w:uiPriority w:val="46"/>
    <w:rsid w:val="000141F7"/>
    <w:tblPr>
      <w:tblStyleRowBandSize w:val="1"/>
      <w:tblStyleColBandSize w:val="1"/>
      <w:tblBorders>
        <w:top w:val="single" w:sz="4" w:space="0" w:color="ACACAC" w:themeColor="text1" w:themeTint="66"/>
        <w:left w:val="single" w:sz="4" w:space="0" w:color="ACACAC" w:themeColor="text1" w:themeTint="66"/>
        <w:bottom w:val="single" w:sz="4" w:space="0" w:color="ACACAC" w:themeColor="text1" w:themeTint="66"/>
        <w:right w:val="single" w:sz="4" w:space="0" w:color="ACACAC" w:themeColor="text1" w:themeTint="66"/>
        <w:insideH w:val="single" w:sz="4" w:space="0" w:color="ACACAC" w:themeColor="text1" w:themeTint="66"/>
        <w:insideV w:val="single" w:sz="4" w:space="0" w:color="ACACAC" w:themeColor="text1" w:themeTint="66"/>
      </w:tblBorders>
    </w:tblPr>
    <w:tblStylePr w:type="firstRow">
      <w:rPr>
        <w:b/>
        <w:bCs/>
      </w:rPr>
      <w:tblPr/>
      <w:tcPr>
        <w:tcBorders>
          <w:bottom w:val="single" w:sz="12" w:space="0" w:color="828282" w:themeColor="text1" w:themeTint="99"/>
        </w:tcBorders>
      </w:tcPr>
    </w:tblStylePr>
    <w:tblStylePr w:type="lastRow">
      <w:rPr>
        <w:b/>
        <w:bCs/>
      </w:rPr>
      <w:tblPr/>
      <w:tcPr>
        <w:tcBorders>
          <w:top w:val="double" w:sz="2" w:space="0" w:color="828282"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41F7"/>
    <w:tblPr>
      <w:tblStyleRowBandSize w:val="1"/>
      <w:tblStyleColBandSize w:val="1"/>
      <w:tblBorders>
        <w:top w:val="single" w:sz="4" w:space="0" w:color="CFF4E4" w:themeColor="accent1" w:themeTint="66"/>
        <w:left w:val="single" w:sz="4" w:space="0" w:color="CFF4E4" w:themeColor="accent1" w:themeTint="66"/>
        <w:bottom w:val="single" w:sz="4" w:space="0" w:color="CFF4E4" w:themeColor="accent1" w:themeTint="66"/>
        <w:right w:val="single" w:sz="4" w:space="0" w:color="CFF4E4" w:themeColor="accent1" w:themeTint="66"/>
        <w:insideH w:val="single" w:sz="4" w:space="0" w:color="CFF4E4" w:themeColor="accent1" w:themeTint="66"/>
        <w:insideV w:val="single" w:sz="4" w:space="0" w:color="CFF4E4" w:themeColor="accent1" w:themeTint="66"/>
      </w:tblBorders>
    </w:tblPr>
    <w:tblStylePr w:type="firstRow">
      <w:rPr>
        <w:b/>
        <w:bCs/>
      </w:rPr>
      <w:tblPr/>
      <w:tcPr>
        <w:tcBorders>
          <w:bottom w:val="single" w:sz="12" w:space="0" w:color="B7EFD7" w:themeColor="accent1" w:themeTint="99"/>
        </w:tcBorders>
      </w:tcPr>
    </w:tblStylePr>
    <w:tblStylePr w:type="lastRow">
      <w:rPr>
        <w:b/>
        <w:bCs/>
      </w:rPr>
      <w:tblPr/>
      <w:tcPr>
        <w:tcBorders>
          <w:top w:val="double" w:sz="2" w:space="0" w:color="B7EF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41F7"/>
    <w:tblPr>
      <w:tblStyleRowBandSize w:val="1"/>
      <w:tblStyleColBandSize w:val="1"/>
      <w:tblBorders>
        <w:top w:val="single" w:sz="4" w:space="0" w:color="BAE6F4" w:themeColor="accent2" w:themeTint="66"/>
        <w:left w:val="single" w:sz="4" w:space="0" w:color="BAE6F4" w:themeColor="accent2" w:themeTint="66"/>
        <w:bottom w:val="single" w:sz="4" w:space="0" w:color="BAE6F4" w:themeColor="accent2" w:themeTint="66"/>
        <w:right w:val="single" w:sz="4" w:space="0" w:color="BAE6F4" w:themeColor="accent2" w:themeTint="66"/>
        <w:insideH w:val="single" w:sz="4" w:space="0" w:color="BAE6F4" w:themeColor="accent2" w:themeTint="66"/>
        <w:insideV w:val="single" w:sz="4" w:space="0" w:color="BAE6F4" w:themeColor="accent2" w:themeTint="66"/>
      </w:tblBorders>
    </w:tblPr>
    <w:tblStylePr w:type="firstRow">
      <w:rPr>
        <w:b/>
        <w:bCs/>
      </w:rPr>
      <w:tblPr/>
      <w:tcPr>
        <w:tcBorders>
          <w:bottom w:val="single" w:sz="12" w:space="0" w:color="97DAEF" w:themeColor="accent2" w:themeTint="99"/>
        </w:tcBorders>
      </w:tcPr>
    </w:tblStylePr>
    <w:tblStylePr w:type="lastRow">
      <w:rPr>
        <w:b/>
        <w:bCs/>
      </w:rPr>
      <w:tblPr/>
      <w:tcPr>
        <w:tcBorders>
          <w:top w:val="double" w:sz="2" w:space="0" w:color="97DAE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41F7"/>
    <w:tblPr>
      <w:tblStyleRowBandSize w:val="1"/>
      <w:tblStyleColBandSize w:val="1"/>
      <w:tblBorders>
        <w:top w:val="single" w:sz="4" w:space="0" w:color="CFD4FA" w:themeColor="accent3" w:themeTint="66"/>
        <w:left w:val="single" w:sz="4" w:space="0" w:color="CFD4FA" w:themeColor="accent3" w:themeTint="66"/>
        <w:bottom w:val="single" w:sz="4" w:space="0" w:color="CFD4FA" w:themeColor="accent3" w:themeTint="66"/>
        <w:right w:val="single" w:sz="4" w:space="0" w:color="CFD4FA" w:themeColor="accent3" w:themeTint="66"/>
        <w:insideH w:val="single" w:sz="4" w:space="0" w:color="CFD4FA" w:themeColor="accent3" w:themeTint="66"/>
        <w:insideV w:val="single" w:sz="4" w:space="0" w:color="CFD4FA" w:themeColor="accent3" w:themeTint="66"/>
      </w:tblBorders>
    </w:tblPr>
    <w:tblStylePr w:type="firstRow">
      <w:rPr>
        <w:b/>
        <w:bCs/>
      </w:rPr>
      <w:tblPr/>
      <w:tcPr>
        <w:tcBorders>
          <w:bottom w:val="single" w:sz="12" w:space="0" w:color="B7BFF8" w:themeColor="accent3" w:themeTint="99"/>
        </w:tcBorders>
      </w:tcPr>
    </w:tblStylePr>
    <w:tblStylePr w:type="lastRow">
      <w:rPr>
        <w:b/>
        <w:bCs/>
      </w:rPr>
      <w:tblPr/>
      <w:tcPr>
        <w:tcBorders>
          <w:top w:val="double" w:sz="2" w:space="0" w:color="B7BFF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41F7"/>
    <w:tblPr>
      <w:tblStyleRowBandSize w:val="1"/>
      <w:tblStyleColBandSize w:val="1"/>
      <w:tblBorders>
        <w:top w:val="single" w:sz="4" w:space="0" w:color="F6DAF6" w:themeColor="accent4" w:themeTint="66"/>
        <w:left w:val="single" w:sz="4" w:space="0" w:color="F6DAF6" w:themeColor="accent4" w:themeTint="66"/>
        <w:bottom w:val="single" w:sz="4" w:space="0" w:color="F6DAF6" w:themeColor="accent4" w:themeTint="66"/>
        <w:right w:val="single" w:sz="4" w:space="0" w:color="F6DAF6" w:themeColor="accent4" w:themeTint="66"/>
        <w:insideH w:val="single" w:sz="4" w:space="0" w:color="F6DAF6" w:themeColor="accent4" w:themeTint="66"/>
        <w:insideV w:val="single" w:sz="4" w:space="0" w:color="F6DAF6" w:themeColor="accent4" w:themeTint="66"/>
      </w:tblBorders>
    </w:tblPr>
    <w:tblStylePr w:type="firstRow">
      <w:rPr>
        <w:b/>
        <w:bCs/>
      </w:rPr>
      <w:tblPr/>
      <w:tcPr>
        <w:tcBorders>
          <w:bottom w:val="single" w:sz="12" w:space="0" w:color="F2C8F2" w:themeColor="accent4" w:themeTint="99"/>
        </w:tcBorders>
      </w:tcPr>
    </w:tblStylePr>
    <w:tblStylePr w:type="lastRow">
      <w:rPr>
        <w:b/>
        <w:bCs/>
      </w:rPr>
      <w:tblPr/>
      <w:tcPr>
        <w:tcBorders>
          <w:top w:val="double" w:sz="2" w:space="0" w:color="F2C8F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41F7"/>
    <w:tblPr>
      <w:tblStyleRowBandSize w:val="1"/>
      <w:tblStyleColBandSize w:val="1"/>
      <w:tblBorders>
        <w:top w:val="single" w:sz="4" w:space="0" w:color="FED4D6" w:themeColor="accent5" w:themeTint="66"/>
        <w:left w:val="single" w:sz="4" w:space="0" w:color="FED4D6" w:themeColor="accent5" w:themeTint="66"/>
        <w:bottom w:val="single" w:sz="4" w:space="0" w:color="FED4D6" w:themeColor="accent5" w:themeTint="66"/>
        <w:right w:val="single" w:sz="4" w:space="0" w:color="FED4D6" w:themeColor="accent5" w:themeTint="66"/>
        <w:insideH w:val="single" w:sz="4" w:space="0" w:color="FED4D6" w:themeColor="accent5" w:themeTint="66"/>
        <w:insideV w:val="single" w:sz="4" w:space="0" w:color="FED4D6" w:themeColor="accent5" w:themeTint="66"/>
      </w:tblBorders>
    </w:tblPr>
    <w:tblStylePr w:type="firstRow">
      <w:rPr>
        <w:b/>
        <w:bCs/>
      </w:rPr>
      <w:tblPr/>
      <w:tcPr>
        <w:tcBorders>
          <w:bottom w:val="single" w:sz="12" w:space="0" w:color="FDBFC3" w:themeColor="accent5" w:themeTint="99"/>
        </w:tcBorders>
      </w:tcPr>
    </w:tblStylePr>
    <w:tblStylePr w:type="lastRow">
      <w:rPr>
        <w:b/>
        <w:bCs/>
      </w:rPr>
      <w:tblPr/>
      <w:tcPr>
        <w:tcBorders>
          <w:top w:val="double" w:sz="2" w:space="0" w:color="FDBFC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41F7"/>
    <w:tblPr>
      <w:tblStyleRowBandSize w:val="1"/>
      <w:tblStyleColBandSize w:val="1"/>
      <w:tblBorders>
        <w:top w:val="single" w:sz="4" w:space="0" w:color="E2F8EE" w:themeColor="accent6" w:themeTint="66"/>
        <w:left w:val="single" w:sz="4" w:space="0" w:color="E2F8EE" w:themeColor="accent6" w:themeTint="66"/>
        <w:bottom w:val="single" w:sz="4" w:space="0" w:color="E2F8EE" w:themeColor="accent6" w:themeTint="66"/>
        <w:right w:val="single" w:sz="4" w:space="0" w:color="E2F8EE" w:themeColor="accent6" w:themeTint="66"/>
        <w:insideH w:val="single" w:sz="4" w:space="0" w:color="E2F8EE" w:themeColor="accent6" w:themeTint="66"/>
        <w:insideV w:val="single" w:sz="4" w:space="0" w:color="E2F8EE" w:themeColor="accent6" w:themeTint="66"/>
      </w:tblBorders>
    </w:tblPr>
    <w:tblStylePr w:type="firstRow">
      <w:rPr>
        <w:b/>
        <w:bCs/>
      </w:rPr>
      <w:tblPr/>
      <w:tcPr>
        <w:tcBorders>
          <w:bottom w:val="single" w:sz="12" w:space="0" w:color="D3F5E6" w:themeColor="accent6" w:themeTint="99"/>
        </w:tcBorders>
      </w:tcPr>
    </w:tblStylePr>
    <w:tblStylePr w:type="lastRow">
      <w:rPr>
        <w:b/>
        <w:bCs/>
      </w:rPr>
      <w:tblPr/>
      <w:tcPr>
        <w:tcBorders>
          <w:top w:val="double" w:sz="2" w:space="0" w:color="D3F5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141F7"/>
    <w:tblPr>
      <w:tblStyleRowBandSize w:val="1"/>
      <w:tblStyleColBandSize w:val="1"/>
      <w:tblBorders>
        <w:top w:val="single" w:sz="2" w:space="0" w:color="828282" w:themeColor="text1" w:themeTint="99"/>
        <w:bottom w:val="single" w:sz="2" w:space="0" w:color="828282" w:themeColor="text1" w:themeTint="99"/>
        <w:insideH w:val="single" w:sz="2" w:space="0" w:color="828282" w:themeColor="text1" w:themeTint="99"/>
        <w:insideV w:val="single" w:sz="2" w:space="0" w:color="828282" w:themeColor="text1" w:themeTint="99"/>
      </w:tblBorders>
    </w:tblPr>
    <w:tblStylePr w:type="firstRow">
      <w:rPr>
        <w:b/>
        <w:bCs/>
      </w:rPr>
      <w:tblPr/>
      <w:tcPr>
        <w:tcBorders>
          <w:top w:val="nil"/>
          <w:bottom w:val="single" w:sz="12" w:space="0" w:color="828282" w:themeColor="text1" w:themeTint="99"/>
          <w:insideH w:val="nil"/>
          <w:insideV w:val="nil"/>
        </w:tcBorders>
        <w:shd w:val="clear" w:color="auto" w:fill="FFFFFF" w:themeFill="background1"/>
      </w:tcPr>
    </w:tblStylePr>
    <w:tblStylePr w:type="lastRow">
      <w:rPr>
        <w:b/>
        <w:bCs/>
      </w:rPr>
      <w:tblPr/>
      <w:tcPr>
        <w:tcBorders>
          <w:top w:val="double" w:sz="2" w:space="0" w:color="828282"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2Accent1">
    <w:name w:val="Grid Table 2 Accent 1"/>
    <w:basedOn w:val="TableNormal"/>
    <w:uiPriority w:val="47"/>
    <w:rsid w:val="000141F7"/>
    <w:tblPr>
      <w:tblStyleRowBandSize w:val="1"/>
      <w:tblStyleColBandSize w:val="1"/>
      <w:tblBorders>
        <w:top w:val="single" w:sz="2" w:space="0" w:color="B7EFD7" w:themeColor="accent1" w:themeTint="99"/>
        <w:bottom w:val="single" w:sz="2" w:space="0" w:color="B7EFD7" w:themeColor="accent1" w:themeTint="99"/>
        <w:insideH w:val="single" w:sz="2" w:space="0" w:color="B7EFD7" w:themeColor="accent1" w:themeTint="99"/>
        <w:insideV w:val="single" w:sz="2" w:space="0" w:color="B7EFD7" w:themeColor="accent1" w:themeTint="99"/>
      </w:tblBorders>
    </w:tblPr>
    <w:tblStylePr w:type="firstRow">
      <w:rPr>
        <w:b/>
        <w:bCs/>
      </w:rPr>
      <w:tblPr/>
      <w:tcPr>
        <w:tcBorders>
          <w:top w:val="nil"/>
          <w:bottom w:val="single" w:sz="12" w:space="0" w:color="B7EFD7" w:themeColor="accent1" w:themeTint="99"/>
          <w:insideH w:val="nil"/>
          <w:insideV w:val="nil"/>
        </w:tcBorders>
        <w:shd w:val="clear" w:color="auto" w:fill="FFFFFF" w:themeFill="background1"/>
      </w:tcPr>
    </w:tblStylePr>
    <w:tblStylePr w:type="lastRow">
      <w:rPr>
        <w:b/>
        <w:bCs/>
      </w:rPr>
      <w:tblPr/>
      <w:tcPr>
        <w:tcBorders>
          <w:top w:val="double" w:sz="2" w:space="0" w:color="B7EF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2Accent2">
    <w:name w:val="Grid Table 2 Accent 2"/>
    <w:basedOn w:val="TableNormal"/>
    <w:uiPriority w:val="47"/>
    <w:rsid w:val="000141F7"/>
    <w:tblPr>
      <w:tblStyleRowBandSize w:val="1"/>
      <w:tblStyleColBandSize w:val="1"/>
      <w:tblBorders>
        <w:top w:val="single" w:sz="2" w:space="0" w:color="97DAEF" w:themeColor="accent2" w:themeTint="99"/>
        <w:bottom w:val="single" w:sz="2" w:space="0" w:color="97DAEF" w:themeColor="accent2" w:themeTint="99"/>
        <w:insideH w:val="single" w:sz="2" w:space="0" w:color="97DAEF" w:themeColor="accent2" w:themeTint="99"/>
        <w:insideV w:val="single" w:sz="2" w:space="0" w:color="97DAEF" w:themeColor="accent2" w:themeTint="99"/>
      </w:tblBorders>
    </w:tblPr>
    <w:tblStylePr w:type="firstRow">
      <w:rPr>
        <w:b/>
        <w:bCs/>
      </w:rPr>
      <w:tblPr/>
      <w:tcPr>
        <w:tcBorders>
          <w:top w:val="nil"/>
          <w:bottom w:val="single" w:sz="12" w:space="0" w:color="97DAEF" w:themeColor="accent2" w:themeTint="99"/>
          <w:insideH w:val="nil"/>
          <w:insideV w:val="nil"/>
        </w:tcBorders>
        <w:shd w:val="clear" w:color="auto" w:fill="FFFFFF" w:themeFill="background1"/>
      </w:tcPr>
    </w:tblStylePr>
    <w:tblStylePr w:type="lastRow">
      <w:rPr>
        <w:b/>
        <w:bCs/>
      </w:rPr>
      <w:tblPr/>
      <w:tcPr>
        <w:tcBorders>
          <w:top w:val="double" w:sz="2" w:space="0" w:color="97DAE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2Accent3">
    <w:name w:val="Grid Table 2 Accent 3"/>
    <w:basedOn w:val="TableNormal"/>
    <w:uiPriority w:val="47"/>
    <w:rsid w:val="000141F7"/>
    <w:tblPr>
      <w:tblStyleRowBandSize w:val="1"/>
      <w:tblStyleColBandSize w:val="1"/>
      <w:tblBorders>
        <w:top w:val="single" w:sz="2" w:space="0" w:color="B7BFF8" w:themeColor="accent3" w:themeTint="99"/>
        <w:bottom w:val="single" w:sz="2" w:space="0" w:color="B7BFF8" w:themeColor="accent3" w:themeTint="99"/>
        <w:insideH w:val="single" w:sz="2" w:space="0" w:color="B7BFF8" w:themeColor="accent3" w:themeTint="99"/>
        <w:insideV w:val="single" w:sz="2" w:space="0" w:color="B7BFF8" w:themeColor="accent3" w:themeTint="99"/>
      </w:tblBorders>
    </w:tblPr>
    <w:tblStylePr w:type="firstRow">
      <w:rPr>
        <w:b/>
        <w:bCs/>
      </w:rPr>
      <w:tblPr/>
      <w:tcPr>
        <w:tcBorders>
          <w:top w:val="nil"/>
          <w:bottom w:val="single" w:sz="12" w:space="0" w:color="B7BFF8" w:themeColor="accent3" w:themeTint="99"/>
          <w:insideH w:val="nil"/>
          <w:insideV w:val="nil"/>
        </w:tcBorders>
        <w:shd w:val="clear" w:color="auto" w:fill="FFFFFF" w:themeFill="background1"/>
      </w:tcPr>
    </w:tblStylePr>
    <w:tblStylePr w:type="lastRow">
      <w:rPr>
        <w:b/>
        <w:bCs/>
      </w:rPr>
      <w:tblPr/>
      <w:tcPr>
        <w:tcBorders>
          <w:top w:val="double" w:sz="2" w:space="0" w:color="B7BF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2Accent4">
    <w:name w:val="Grid Table 2 Accent 4"/>
    <w:basedOn w:val="TableNormal"/>
    <w:uiPriority w:val="47"/>
    <w:rsid w:val="000141F7"/>
    <w:tblPr>
      <w:tblStyleRowBandSize w:val="1"/>
      <w:tblStyleColBandSize w:val="1"/>
      <w:tblBorders>
        <w:top w:val="single" w:sz="2" w:space="0" w:color="F2C8F2" w:themeColor="accent4" w:themeTint="99"/>
        <w:bottom w:val="single" w:sz="2" w:space="0" w:color="F2C8F2" w:themeColor="accent4" w:themeTint="99"/>
        <w:insideH w:val="single" w:sz="2" w:space="0" w:color="F2C8F2" w:themeColor="accent4" w:themeTint="99"/>
        <w:insideV w:val="single" w:sz="2" w:space="0" w:color="F2C8F2" w:themeColor="accent4" w:themeTint="99"/>
      </w:tblBorders>
    </w:tblPr>
    <w:tblStylePr w:type="firstRow">
      <w:rPr>
        <w:b/>
        <w:bCs/>
      </w:rPr>
      <w:tblPr/>
      <w:tcPr>
        <w:tcBorders>
          <w:top w:val="nil"/>
          <w:bottom w:val="single" w:sz="12" w:space="0" w:color="F2C8F2" w:themeColor="accent4" w:themeTint="99"/>
          <w:insideH w:val="nil"/>
          <w:insideV w:val="nil"/>
        </w:tcBorders>
        <w:shd w:val="clear" w:color="auto" w:fill="FFFFFF" w:themeFill="background1"/>
      </w:tcPr>
    </w:tblStylePr>
    <w:tblStylePr w:type="lastRow">
      <w:rPr>
        <w:b/>
        <w:bCs/>
      </w:rPr>
      <w:tblPr/>
      <w:tcPr>
        <w:tcBorders>
          <w:top w:val="double" w:sz="2" w:space="0" w:color="F2C8F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2Accent5">
    <w:name w:val="Grid Table 2 Accent 5"/>
    <w:basedOn w:val="TableNormal"/>
    <w:uiPriority w:val="47"/>
    <w:rsid w:val="000141F7"/>
    <w:tblPr>
      <w:tblStyleRowBandSize w:val="1"/>
      <w:tblStyleColBandSize w:val="1"/>
      <w:tblBorders>
        <w:top w:val="single" w:sz="2" w:space="0" w:color="FDBFC3" w:themeColor="accent5" w:themeTint="99"/>
        <w:bottom w:val="single" w:sz="2" w:space="0" w:color="FDBFC3" w:themeColor="accent5" w:themeTint="99"/>
        <w:insideH w:val="single" w:sz="2" w:space="0" w:color="FDBFC3" w:themeColor="accent5" w:themeTint="99"/>
        <w:insideV w:val="single" w:sz="2" w:space="0" w:color="FDBFC3" w:themeColor="accent5" w:themeTint="99"/>
      </w:tblBorders>
    </w:tblPr>
    <w:tblStylePr w:type="firstRow">
      <w:rPr>
        <w:b/>
        <w:bCs/>
      </w:rPr>
      <w:tblPr/>
      <w:tcPr>
        <w:tcBorders>
          <w:top w:val="nil"/>
          <w:bottom w:val="single" w:sz="12" w:space="0" w:color="FDBFC3" w:themeColor="accent5" w:themeTint="99"/>
          <w:insideH w:val="nil"/>
          <w:insideV w:val="nil"/>
        </w:tcBorders>
        <w:shd w:val="clear" w:color="auto" w:fill="FFFFFF" w:themeFill="background1"/>
      </w:tcPr>
    </w:tblStylePr>
    <w:tblStylePr w:type="lastRow">
      <w:rPr>
        <w:b/>
        <w:bCs/>
      </w:rPr>
      <w:tblPr/>
      <w:tcPr>
        <w:tcBorders>
          <w:top w:val="double" w:sz="2" w:space="0" w:color="FDBFC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2Accent6">
    <w:name w:val="Grid Table 2 Accent 6"/>
    <w:basedOn w:val="TableNormal"/>
    <w:uiPriority w:val="47"/>
    <w:rsid w:val="000141F7"/>
    <w:tblPr>
      <w:tblStyleRowBandSize w:val="1"/>
      <w:tblStyleColBandSize w:val="1"/>
      <w:tblBorders>
        <w:top w:val="single" w:sz="2" w:space="0" w:color="D3F5E6" w:themeColor="accent6" w:themeTint="99"/>
        <w:bottom w:val="single" w:sz="2" w:space="0" w:color="D3F5E6" w:themeColor="accent6" w:themeTint="99"/>
        <w:insideH w:val="single" w:sz="2" w:space="0" w:color="D3F5E6" w:themeColor="accent6" w:themeTint="99"/>
        <w:insideV w:val="single" w:sz="2" w:space="0" w:color="D3F5E6" w:themeColor="accent6" w:themeTint="99"/>
      </w:tblBorders>
    </w:tblPr>
    <w:tblStylePr w:type="firstRow">
      <w:rPr>
        <w:b/>
        <w:bCs/>
      </w:rPr>
      <w:tblPr/>
      <w:tcPr>
        <w:tcBorders>
          <w:top w:val="nil"/>
          <w:bottom w:val="single" w:sz="12" w:space="0" w:color="D3F5E6" w:themeColor="accent6" w:themeTint="99"/>
          <w:insideH w:val="nil"/>
          <w:insideV w:val="nil"/>
        </w:tcBorders>
        <w:shd w:val="clear" w:color="auto" w:fill="FFFFFF" w:themeFill="background1"/>
      </w:tcPr>
    </w:tblStylePr>
    <w:tblStylePr w:type="lastRow">
      <w:rPr>
        <w:b/>
        <w:bCs/>
      </w:rPr>
      <w:tblPr/>
      <w:tcPr>
        <w:tcBorders>
          <w:top w:val="double" w:sz="2" w:space="0" w:color="D3F5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3">
    <w:name w:val="Grid Table 3"/>
    <w:basedOn w:val="TableNormal"/>
    <w:uiPriority w:val="48"/>
    <w:rsid w:val="000141F7"/>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3Accent1">
    <w:name w:val="Grid Table 3 Accent 1"/>
    <w:basedOn w:val="TableNormal"/>
    <w:uiPriority w:val="48"/>
    <w:rsid w:val="000141F7"/>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bottom w:val="single" w:sz="4" w:space="0" w:color="B7EFD7" w:themeColor="accent1" w:themeTint="99"/>
        </w:tcBorders>
      </w:tcPr>
    </w:tblStylePr>
    <w:tblStylePr w:type="nwCell">
      <w:tblPr/>
      <w:tcPr>
        <w:tcBorders>
          <w:bottom w:val="single" w:sz="4" w:space="0" w:color="B7EFD7" w:themeColor="accent1" w:themeTint="99"/>
        </w:tcBorders>
      </w:tcPr>
    </w:tblStylePr>
    <w:tblStylePr w:type="seCell">
      <w:tblPr/>
      <w:tcPr>
        <w:tcBorders>
          <w:top w:val="single" w:sz="4" w:space="0" w:color="B7EFD7" w:themeColor="accent1" w:themeTint="99"/>
        </w:tcBorders>
      </w:tcPr>
    </w:tblStylePr>
    <w:tblStylePr w:type="swCell">
      <w:tblPr/>
      <w:tcPr>
        <w:tcBorders>
          <w:top w:val="single" w:sz="4" w:space="0" w:color="B7EFD7" w:themeColor="accent1" w:themeTint="99"/>
        </w:tcBorders>
      </w:tcPr>
    </w:tblStylePr>
  </w:style>
  <w:style w:type="table" w:styleId="GridTable3Accent2">
    <w:name w:val="Grid Table 3 Accent 2"/>
    <w:basedOn w:val="TableNormal"/>
    <w:uiPriority w:val="48"/>
    <w:rsid w:val="000141F7"/>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bottom w:val="single" w:sz="4" w:space="0" w:color="97DAEF" w:themeColor="accent2" w:themeTint="99"/>
        </w:tcBorders>
      </w:tcPr>
    </w:tblStylePr>
    <w:tblStylePr w:type="nwCell">
      <w:tblPr/>
      <w:tcPr>
        <w:tcBorders>
          <w:bottom w:val="single" w:sz="4" w:space="0" w:color="97DAEF" w:themeColor="accent2" w:themeTint="99"/>
        </w:tcBorders>
      </w:tcPr>
    </w:tblStylePr>
    <w:tblStylePr w:type="seCell">
      <w:tblPr/>
      <w:tcPr>
        <w:tcBorders>
          <w:top w:val="single" w:sz="4" w:space="0" w:color="97DAEF" w:themeColor="accent2" w:themeTint="99"/>
        </w:tcBorders>
      </w:tcPr>
    </w:tblStylePr>
    <w:tblStylePr w:type="swCell">
      <w:tblPr/>
      <w:tcPr>
        <w:tcBorders>
          <w:top w:val="single" w:sz="4" w:space="0" w:color="97DAEF" w:themeColor="accent2" w:themeTint="99"/>
        </w:tcBorders>
      </w:tcPr>
    </w:tblStylePr>
  </w:style>
  <w:style w:type="table" w:styleId="GridTable3Accent3">
    <w:name w:val="Grid Table 3 Accent 3"/>
    <w:basedOn w:val="TableNormal"/>
    <w:uiPriority w:val="48"/>
    <w:rsid w:val="000141F7"/>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bottom w:val="single" w:sz="4" w:space="0" w:color="B7BFF8" w:themeColor="accent3" w:themeTint="99"/>
        </w:tcBorders>
      </w:tcPr>
    </w:tblStylePr>
    <w:tblStylePr w:type="nwCell">
      <w:tblPr/>
      <w:tcPr>
        <w:tcBorders>
          <w:bottom w:val="single" w:sz="4" w:space="0" w:color="B7BFF8" w:themeColor="accent3" w:themeTint="99"/>
        </w:tcBorders>
      </w:tcPr>
    </w:tblStylePr>
    <w:tblStylePr w:type="seCell">
      <w:tblPr/>
      <w:tcPr>
        <w:tcBorders>
          <w:top w:val="single" w:sz="4" w:space="0" w:color="B7BFF8" w:themeColor="accent3" w:themeTint="99"/>
        </w:tcBorders>
      </w:tcPr>
    </w:tblStylePr>
    <w:tblStylePr w:type="swCell">
      <w:tblPr/>
      <w:tcPr>
        <w:tcBorders>
          <w:top w:val="single" w:sz="4" w:space="0" w:color="B7BFF8" w:themeColor="accent3" w:themeTint="99"/>
        </w:tcBorders>
      </w:tcPr>
    </w:tblStylePr>
  </w:style>
  <w:style w:type="table" w:styleId="GridTable3Accent4">
    <w:name w:val="Grid Table 3 Accent 4"/>
    <w:basedOn w:val="TableNormal"/>
    <w:uiPriority w:val="48"/>
    <w:rsid w:val="000141F7"/>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bottom w:val="single" w:sz="4" w:space="0" w:color="F2C8F2" w:themeColor="accent4" w:themeTint="99"/>
        </w:tcBorders>
      </w:tcPr>
    </w:tblStylePr>
    <w:tblStylePr w:type="nwCell">
      <w:tblPr/>
      <w:tcPr>
        <w:tcBorders>
          <w:bottom w:val="single" w:sz="4" w:space="0" w:color="F2C8F2" w:themeColor="accent4" w:themeTint="99"/>
        </w:tcBorders>
      </w:tcPr>
    </w:tblStylePr>
    <w:tblStylePr w:type="seCell">
      <w:tblPr/>
      <w:tcPr>
        <w:tcBorders>
          <w:top w:val="single" w:sz="4" w:space="0" w:color="F2C8F2" w:themeColor="accent4" w:themeTint="99"/>
        </w:tcBorders>
      </w:tcPr>
    </w:tblStylePr>
    <w:tblStylePr w:type="swCell">
      <w:tblPr/>
      <w:tcPr>
        <w:tcBorders>
          <w:top w:val="single" w:sz="4" w:space="0" w:color="F2C8F2" w:themeColor="accent4" w:themeTint="99"/>
        </w:tcBorders>
      </w:tcPr>
    </w:tblStylePr>
  </w:style>
  <w:style w:type="table" w:styleId="GridTable3Accent5">
    <w:name w:val="Grid Table 3 Accent 5"/>
    <w:basedOn w:val="TableNormal"/>
    <w:uiPriority w:val="48"/>
    <w:rsid w:val="000141F7"/>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bottom w:val="single" w:sz="4" w:space="0" w:color="FDBFC3" w:themeColor="accent5" w:themeTint="99"/>
        </w:tcBorders>
      </w:tcPr>
    </w:tblStylePr>
    <w:tblStylePr w:type="nwCell">
      <w:tblPr/>
      <w:tcPr>
        <w:tcBorders>
          <w:bottom w:val="single" w:sz="4" w:space="0" w:color="FDBFC3" w:themeColor="accent5" w:themeTint="99"/>
        </w:tcBorders>
      </w:tcPr>
    </w:tblStylePr>
    <w:tblStylePr w:type="seCell">
      <w:tblPr/>
      <w:tcPr>
        <w:tcBorders>
          <w:top w:val="single" w:sz="4" w:space="0" w:color="FDBFC3" w:themeColor="accent5" w:themeTint="99"/>
        </w:tcBorders>
      </w:tcPr>
    </w:tblStylePr>
    <w:tblStylePr w:type="swCell">
      <w:tblPr/>
      <w:tcPr>
        <w:tcBorders>
          <w:top w:val="single" w:sz="4" w:space="0" w:color="FDBFC3" w:themeColor="accent5" w:themeTint="99"/>
        </w:tcBorders>
      </w:tcPr>
    </w:tblStylePr>
  </w:style>
  <w:style w:type="table" w:styleId="GridTable3Accent6">
    <w:name w:val="Grid Table 3 Accent 6"/>
    <w:basedOn w:val="TableNormal"/>
    <w:uiPriority w:val="48"/>
    <w:rsid w:val="000141F7"/>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sz="4" w:space="0" w:color="D3F5E6" w:themeColor="accent6" w:themeTint="99"/>
        </w:tcBorders>
      </w:tcPr>
    </w:tblStylePr>
    <w:tblStylePr w:type="nwCell">
      <w:tblPr/>
      <w:tcPr>
        <w:tcBorders>
          <w:bottom w:val="single" w:sz="4" w:space="0" w:color="D3F5E6" w:themeColor="accent6" w:themeTint="99"/>
        </w:tcBorders>
      </w:tcPr>
    </w:tblStylePr>
    <w:tblStylePr w:type="seCell">
      <w:tblPr/>
      <w:tcPr>
        <w:tcBorders>
          <w:top w:val="single" w:sz="4" w:space="0" w:color="D3F5E6" w:themeColor="accent6" w:themeTint="99"/>
        </w:tcBorders>
      </w:tcPr>
    </w:tblStylePr>
    <w:tblStylePr w:type="swCell">
      <w:tblPr/>
      <w:tcPr>
        <w:tcBorders>
          <w:top w:val="single" w:sz="4" w:space="0" w:color="D3F5E6" w:themeColor="accent6" w:themeTint="99"/>
        </w:tcBorders>
      </w:tcPr>
    </w:tblStylePr>
  </w:style>
  <w:style w:type="table" w:styleId="GridTable4">
    <w:name w:val="Grid Table 4"/>
    <w:basedOn w:val="TableNormal"/>
    <w:uiPriority w:val="49"/>
    <w:rsid w:val="000141F7"/>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insideV w:val="nil"/>
        </w:tcBorders>
        <w:shd w:val="clear" w:color="auto" w:fill="303030" w:themeFill="text1"/>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4Accent1">
    <w:name w:val="Grid Table 4 Accent 1"/>
    <w:basedOn w:val="TableNormal"/>
    <w:uiPriority w:val="49"/>
    <w:rsid w:val="000141F7"/>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color w:val="FFFFFF" w:themeColor="background1"/>
      </w:rPr>
      <w:tblPr/>
      <w:tcPr>
        <w:tcBorders>
          <w:top w:val="single" w:sz="4" w:space="0" w:color="88E5BD" w:themeColor="accent1"/>
          <w:left w:val="single" w:sz="4" w:space="0" w:color="88E5BD" w:themeColor="accent1"/>
          <w:bottom w:val="single" w:sz="4" w:space="0" w:color="88E5BD" w:themeColor="accent1"/>
          <w:right w:val="single" w:sz="4" w:space="0" w:color="88E5BD" w:themeColor="accent1"/>
          <w:insideH w:val="nil"/>
          <w:insideV w:val="nil"/>
        </w:tcBorders>
        <w:shd w:val="clear" w:color="auto" w:fill="88E5BD" w:themeFill="accent1"/>
      </w:tcPr>
    </w:tblStylePr>
    <w:tblStylePr w:type="lastRow">
      <w:rPr>
        <w:b/>
        <w:bCs/>
      </w:rPr>
      <w:tblPr/>
      <w:tcPr>
        <w:tcBorders>
          <w:top w:val="double" w:sz="4" w:space="0" w:color="88E5BD" w:themeColor="accent1"/>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4Accent2">
    <w:name w:val="Grid Table 4 Accent 2"/>
    <w:basedOn w:val="TableNormal"/>
    <w:uiPriority w:val="49"/>
    <w:rsid w:val="000141F7"/>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color w:val="FFFFFF" w:themeColor="background1"/>
      </w:rPr>
      <w:tblPr/>
      <w:tcPr>
        <w:tcBorders>
          <w:top w:val="single" w:sz="4" w:space="0" w:color="53C2E5" w:themeColor="accent2"/>
          <w:left w:val="single" w:sz="4" w:space="0" w:color="53C2E5" w:themeColor="accent2"/>
          <w:bottom w:val="single" w:sz="4" w:space="0" w:color="53C2E5" w:themeColor="accent2"/>
          <w:right w:val="single" w:sz="4" w:space="0" w:color="53C2E5" w:themeColor="accent2"/>
          <w:insideH w:val="nil"/>
          <w:insideV w:val="nil"/>
        </w:tcBorders>
        <w:shd w:val="clear" w:color="auto" w:fill="53C2E5" w:themeFill="accent2"/>
      </w:tcPr>
    </w:tblStylePr>
    <w:tblStylePr w:type="lastRow">
      <w:rPr>
        <w:b/>
        <w:bCs/>
      </w:rPr>
      <w:tblPr/>
      <w:tcPr>
        <w:tcBorders>
          <w:top w:val="double" w:sz="4" w:space="0" w:color="53C2E5" w:themeColor="accent2"/>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4Accent3">
    <w:name w:val="Grid Table 4 Accent 3"/>
    <w:basedOn w:val="TableNormal"/>
    <w:uiPriority w:val="49"/>
    <w:rsid w:val="000141F7"/>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color w:val="FFFFFF" w:themeColor="background1"/>
      </w:rPr>
      <w:tblPr/>
      <w:tcPr>
        <w:tcBorders>
          <w:top w:val="single" w:sz="4" w:space="0" w:color="8996F4" w:themeColor="accent3"/>
          <w:left w:val="single" w:sz="4" w:space="0" w:color="8996F4" w:themeColor="accent3"/>
          <w:bottom w:val="single" w:sz="4" w:space="0" w:color="8996F4" w:themeColor="accent3"/>
          <w:right w:val="single" w:sz="4" w:space="0" w:color="8996F4" w:themeColor="accent3"/>
          <w:insideH w:val="nil"/>
          <w:insideV w:val="nil"/>
        </w:tcBorders>
        <w:shd w:val="clear" w:color="auto" w:fill="8996F4" w:themeFill="accent3"/>
      </w:tcPr>
    </w:tblStylePr>
    <w:tblStylePr w:type="lastRow">
      <w:rPr>
        <w:b/>
        <w:bCs/>
      </w:rPr>
      <w:tblPr/>
      <w:tcPr>
        <w:tcBorders>
          <w:top w:val="double" w:sz="4" w:space="0" w:color="8996F4" w:themeColor="accent3"/>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4Accent4">
    <w:name w:val="Grid Table 4 Accent 4"/>
    <w:basedOn w:val="TableNormal"/>
    <w:uiPriority w:val="49"/>
    <w:rsid w:val="000141F7"/>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color w:val="FFFFFF" w:themeColor="background1"/>
      </w:rPr>
      <w:tblPr/>
      <w:tcPr>
        <w:tcBorders>
          <w:top w:val="single" w:sz="4" w:space="0" w:color="EAA4EA" w:themeColor="accent4"/>
          <w:left w:val="single" w:sz="4" w:space="0" w:color="EAA4EA" w:themeColor="accent4"/>
          <w:bottom w:val="single" w:sz="4" w:space="0" w:color="EAA4EA" w:themeColor="accent4"/>
          <w:right w:val="single" w:sz="4" w:space="0" w:color="EAA4EA" w:themeColor="accent4"/>
          <w:insideH w:val="nil"/>
          <w:insideV w:val="nil"/>
        </w:tcBorders>
        <w:shd w:val="clear" w:color="auto" w:fill="EAA4EA" w:themeFill="accent4"/>
      </w:tcPr>
    </w:tblStylePr>
    <w:tblStylePr w:type="lastRow">
      <w:rPr>
        <w:b/>
        <w:bCs/>
      </w:rPr>
      <w:tblPr/>
      <w:tcPr>
        <w:tcBorders>
          <w:top w:val="double" w:sz="4" w:space="0" w:color="EAA4EA" w:themeColor="accent4"/>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4Accent5">
    <w:name w:val="Grid Table 4 Accent 5"/>
    <w:basedOn w:val="TableNormal"/>
    <w:uiPriority w:val="49"/>
    <w:rsid w:val="000141F7"/>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color w:val="FFFFFF" w:themeColor="background1"/>
      </w:rPr>
      <w:tblPr/>
      <w:tcPr>
        <w:tcBorders>
          <w:top w:val="single" w:sz="4" w:space="0" w:color="FD969C" w:themeColor="accent5"/>
          <w:left w:val="single" w:sz="4" w:space="0" w:color="FD969C" w:themeColor="accent5"/>
          <w:bottom w:val="single" w:sz="4" w:space="0" w:color="FD969C" w:themeColor="accent5"/>
          <w:right w:val="single" w:sz="4" w:space="0" w:color="FD969C" w:themeColor="accent5"/>
          <w:insideH w:val="nil"/>
          <w:insideV w:val="nil"/>
        </w:tcBorders>
        <w:shd w:val="clear" w:color="auto" w:fill="FD969C" w:themeFill="accent5"/>
      </w:tcPr>
    </w:tblStylePr>
    <w:tblStylePr w:type="lastRow">
      <w:rPr>
        <w:b/>
        <w:bCs/>
      </w:rPr>
      <w:tblPr/>
      <w:tcPr>
        <w:tcBorders>
          <w:top w:val="double" w:sz="4" w:space="0" w:color="FD969C" w:themeColor="accent5"/>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4Accent6">
    <w:name w:val="Grid Table 4 Accent 6"/>
    <w:basedOn w:val="TableNormal"/>
    <w:uiPriority w:val="49"/>
    <w:rsid w:val="000141F7"/>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color w:val="FFFFFF" w:themeColor="background1"/>
      </w:rPr>
      <w:tblPr/>
      <w:tcPr>
        <w:tcBorders>
          <w:top w:val="single" w:sz="4" w:space="0" w:color="B7EFD7" w:themeColor="accent6"/>
          <w:left w:val="single" w:sz="4" w:space="0" w:color="B7EFD7" w:themeColor="accent6"/>
          <w:bottom w:val="single" w:sz="4" w:space="0" w:color="B7EFD7" w:themeColor="accent6"/>
          <w:right w:val="single" w:sz="4" w:space="0" w:color="B7EFD7" w:themeColor="accent6"/>
          <w:insideH w:val="nil"/>
          <w:insideV w:val="nil"/>
        </w:tcBorders>
        <w:shd w:val="clear" w:color="auto" w:fill="B7EFD7" w:themeFill="accent6"/>
      </w:tcPr>
    </w:tblStylePr>
    <w:tblStylePr w:type="lastRow">
      <w:rPr>
        <w:b/>
        <w:bCs/>
      </w:rPr>
      <w:tblPr/>
      <w:tcPr>
        <w:tcBorders>
          <w:top w:val="double" w:sz="4" w:space="0" w:color="B7EFD7" w:themeColor="accent6"/>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5Dark">
    <w:name w:val="Grid Table 5 Dark"/>
    <w:basedOn w:val="TableNormal"/>
    <w:uiPriority w:val="50"/>
    <w:rsid w:val="000141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5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303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303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303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3030" w:themeFill="text1"/>
      </w:tcPr>
    </w:tblStylePr>
    <w:tblStylePr w:type="band1Vert">
      <w:tblPr/>
      <w:tcPr>
        <w:shd w:val="clear" w:color="auto" w:fill="ACACAC" w:themeFill="text1" w:themeFillTint="66"/>
      </w:tcPr>
    </w:tblStylePr>
    <w:tblStylePr w:type="band1Horz">
      <w:tblPr/>
      <w:tcPr>
        <w:shd w:val="clear" w:color="auto" w:fill="ACACAC" w:themeFill="text1" w:themeFillTint="66"/>
      </w:tcPr>
    </w:tblStylePr>
  </w:style>
  <w:style w:type="table" w:styleId="GridTable5DarkAccent1">
    <w:name w:val="Grid Table 5 Dark Accent 1"/>
    <w:basedOn w:val="TableNormal"/>
    <w:uiPriority w:val="50"/>
    <w:rsid w:val="000141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9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E5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E5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E5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E5BD" w:themeFill="accent1"/>
      </w:tcPr>
    </w:tblStylePr>
    <w:tblStylePr w:type="band1Vert">
      <w:tblPr/>
      <w:tcPr>
        <w:shd w:val="clear" w:color="auto" w:fill="CFF4E4" w:themeFill="accent1" w:themeFillTint="66"/>
      </w:tcPr>
    </w:tblStylePr>
    <w:tblStylePr w:type="band1Horz">
      <w:tblPr/>
      <w:tcPr>
        <w:shd w:val="clear" w:color="auto" w:fill="CFF4E4" w:themeFill="accent1" w:themeFillTint="66"/>
      </w:tcPr>
    </w:tblStylePr>
  </w:style>
  <w:style w:type="table" w:styleId="GridTable5DarkAccent2">
    <w:name w:val="Grid Table 5 Dark Accent 2"/>
    <w:basedOn w:val="TableNormal"/>
    <w:uiPriority w:val="50"/>
    <w:rsid w:val="000141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2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C2E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C2E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C2E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C2E5" w:themeFill="accent2"/>
      </w:tcPr>
    </w:tblStylePr>
    <w:tblStylePr w:type="band1Vert">
      <w:tblPr/>
      <w:tcPr>
        <w:shd w:val="clear" w:color="auto" w:fill="BAE6F4" w:themeFill="accent2" w:themeFillTint="66"/>
      </w:tcPr>
    </w:tblStylePr>
    <w:tblStylePr w:type="band1Horz">
      <w:tblPr/>
      <w:tcPr>
        <w:shd w:val="clear" w:color="auto" w:fill="BAE6F4" w:themeFill="accent2" w:themeFillTint="66"/>
      </w:tcPr>
    </w:tblStylePr>
  </w:style>
  <w:style w:type="table" w:styleId="GridTable5DarkAccent3">
    <w:name w:val="Grid Table 5 Dark Accent 3"/>
    <w:basedOn w:val="TableNormal"/>
    <w:uiPriority w:val="50"/>
    <w:rsid w:val="000141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9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96F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96F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96F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96F4" w:themeFill="accent3"/>
      </w:tcPr>
    </w:tblStylePr>
    <w:tblStylePr w:type="band1Vert">
      <w:tblPr/>
      <w:tcPr>
        <w:shd w:val="clear" w:color="auto" w:fill="CFD4FA" w:themeFill="accent3" w:themeFillTint="66"/>
      </w:tcPr>
    </w:tblStylePr>
    <w:tblStylePr w:type="band1Horz">
      <w:tblPr/>
      <w:tcPr>
        <w:shd w:val="clear" w:color="auto" w:fill="CFD4FA" w:themeFill="accent3" w:themeFillTint="66"/>
      </w:tcPr>
    </w:tblStylePr>
  </w:style>
  <w:style w:type="table" w:styleId="GridTable5DarkAccent4">
    <w:name w:val="Grid Table 5 Dark Accent 4"/>
    <w:basedOn w:val="TableNormal"/>
    <w:uiPriority w:val="50"/>
    <w:rsid w:val="000141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CF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A4E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A4E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A4E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A4EA" w:themeFill="accent4"/>
      </w:tcPr>
    </w:tblStylePr>
    <w:tblStylePr w:type="band1Vert">
      <w:tblPr/>
      <w:tcPr>
        <w:shd w:val="clear" w:color="auto" w:fill="F6DAF6" w:themeFill="accent4" w:themeFillTint="66"/>
      </w:tcPr>
    </w:tblStylePr>
    <w:tblStylePr w:type="band1Horz">
      <w:tblPr/>
      <w:tcPr>
        <w:shd w:val="clear" w:color="auto" w:fill="F6DAF6" w:themeFill="accent4" w:themeFillTint="66"/>
      </w:tcPr>
    </w:tblStylePr>
  </w:style>
  <w:style w:type="table" w:styleId="GridTable5DarkAccent5">
    <w:name w:val="Grid Table 5 Dark Accent 5"/>
    <w:basedOn w:val="TableNormal"/>
    <w:uiPriority w:val="50"/>
    <w:rsid w:val="000141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9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969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969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969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969C" w:themeFill="accent5"/>
      </w:tcPr>
    </w:tblStylePr>
    <w:tblStylePr w:type="band1Vert">
      <w:tblPr/>
      <w:tcPr>
        <w:shd w:val="clear" w:color="auto" w:fill="FED4D6" w:themeFill="accent5" w:themeFillTint="66"/>
      </w:tcPr>
    </w:tblStylePr>
    <w:tblStylePr w:type="band1Horz">
      <w:tblPr/>
      <w:tcPr>
        <w:shd w:val="clear" w:color="auto" w:fill="FED4D6" w:themeFill="accent5" w:themeFillTint="66"/>
      </w:tcPr>
    </w:tblStylePr>
  </w:style>
  <w:style w:type="table" w:styleId="GridTable5DarkAccent6">
    <w:name w:val="Grid Table 5 Dark Accent 6"/>
    <w:basedOn w:val="TableNormal"/>
    <w:uiPriority w:val="50"/>
    <w:rsid w:val="000141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EF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EF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EF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EFD7" w:themeFill="accent6"/>
      </w:tcPr>
    </w:tblStylePr>
    <w:tblStylePr w:type="band1Vert">
      <w:tblPr/>
      <w:tcPr>
        <w:shd w:val="clear" w:color="auto" w:fill="E2F8EE" w:themeFill="accent6" w:themeFillTint="66"/>
      </w:tcPr>
    </w:tblStylePr>
    <w:tblStylePr w:type="band1Horz">
      <w:tblPr/>
      <w:tcPr>
        <w:shd w:val="clear" w:color="auto" w:fill="E2F8EE" w:themeFill="accent6" w:themeFillTint="66"/>
      </w:tcPr>
    </w:tblStylePr>
  </w:style>
  <w:style w:type="table" w:styleId="GridTable6Colorful">
    <w:name w:val="Grid Table 6 Colorful"/>
    <w:basedOn w:val="TableNormal"/>
    <w:uiPriority w:val="51"/>
    <w:rsid w:val="000141F7"/>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bottom w:val="single" w:sz="12" w:space="0" w:color="828282" w:themeColor="text1" w:themeTint="99"/>
        </w:tcBorders>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6ColorfulAccent1">
    <w:name w:val="Grid Table 6 Colorful Accent 1"/>
    <w:basedOn w:val="TableNormal"/>
    <w:uiPriority w:val="51"/>
    <w:rsid w:val="000141F7"/>
    <w:rPr>
      <w:color w:val="3CD493" w:themeColor="accent1" w:themeShade="BF"/>
    </w:rPr>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rPr>
      <w:tblPr/>
      <w:tcPr>
        <w:tcBorders>
          <w:bottom w:val="single" w:sz="12" w:space="0" w:color="B7EFD7" w:themeColor="accent1" w:themeTint="99"/>
        </w:tcBorders>
      </w:tcPr>
    </w:tblStylePr>
    <w:tblStylePr w:type="lastRow">
      <w:rPr>
        <w:b/>
        <w:bCs/>
      </w:rPr>
      <w:tblPr/>
      <w:tcPr>
        <w:tcBorders>
          <w:top w:val="double" w:sz="4" w:space="0" w:color="B7EFD7" w:themeColor="accent1" w:themeTint="99"/>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6ColorfulAccent2">
    <w:name w:val="Grid Table 6 Colorful Accent 2"/>
    <w:basedOn w:val="TableNormal"/>
    <w:uiPriority w:val="51"/>
    <w:rsid w:val="000141F7"/>
    <w:rPr>
      <w:color w:val="1EA1CA" w:themeColor="accent2" w:themeShade="BF"/>
    </w:rPr>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rPr>
      <w:tblPr/>
      <w:tcPr>
        <w:tcBorders>
          <w:bottom w:val="single" w:sz="12" w:space="0" w:color="97DAEF" w:themeColor="accent2" w:themeTint="99"/>
        </w:tcBorders>
      </w:tcPr>
    </w:tblStylePr>
    <w:tblStylePr w:type="lastRow">
      <w:rPr>
        <w:b/>
        <w:bCs/>
      </w:rPr>
      <w:tblPr/>
      <w:tcPr>
        <w:tcBorders>
          <w:top w:val="double" w:sz="4" w:space="0" w:color="97DAEF" w:themeColor="accent2" w:themeTint="99"/>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6ColorfulAccent3">
    <w:name w:val="Grid Table 6 Colorful Accent 3"/>
    <w:basedOn w:val="TableNormal"/>
    <w:uiPriority w:val="51"/>
    <w:rsid w:val="000141F7"/>
    <w:rPr>
      <w:color w:val="3147EC" w:themeColor="accent3" w:themeShade="BF"/>
    </w:rPr>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rPr>
      <w:tblPr/>
      <w:tcPr>
        <w:tcBorders>
          <w:bottom w:val="single" w:sz="12" w:space="0" w:color="B7BFF8" w:themeColor="accent3" w:themeTint="99"/>
        </w:tcBorders>
      </w:tcPr>
    </w:tblStylePr>
    <w:tblStylePr w:type="lastRow">
      <w:rPr>
        <w:b/>
        <w:bCs/>
      </w:rPr>
      <w:tblPr/>
      <w:tcPr>
        <w:tcBorders>
          <w:top w:val="double" w:sz="4" w:space="0" w:color="B7BFF8" w:themeColor="accent3" w:themeTint="99"/>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6ColorfulAccent4">
    <w:name w:val="Grid Table 6 Colorful Accent 4"/>
    <w:basedOn w:val="TableNormal"/>
    <w:uiPriority w:val="51"/>
    <w:rsid w:val="000141F7"/>
    <w:rPr>
      <w:color w:val="D752D7" w:themeColor="accent4" w:themeShade="BF"/>
    </w:rPr>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rPr>
      <w:tblPr/>
      <w:tcPr>
        <w:tcBorders>
          <w:bottom w:val="single" w:sz="12" w:space="0" w:color="F2C8F2" w:themeColor="accent4" w:themeTint="99"/>
        </w:tcBorders>
      </w:tcPr>
    </w:tblStylePr>
    <w:tblStylePr w:type="lastRow">
      <w:rPr>
        <w:b/>
        <w:bCs/>
      </w:rPr>
      <w:tblPr/>
      <w:tcPr>
        <w:tcBorders>
          <w:top w:val="double" w:sz="4" w:space="0" w:color="F2C8F2" w:themeColor="accent4" w:themeTint="99"/>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6ColorfulAccent5">
    <w:name w:val="Grid Table 6 Colorful Accent 5"/>
    <w:basedOn w:val="TableNormal"/>
    <w:uiPriority w:val="51"/>
    <w:rsid w:val="000141F7"/>
    <w:rPr>
      <w:color w:val="FB323D" w:themeColor="accent5" w:themeShade="BF"/>
    </w:rPr>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rPr>
      <w:tblPr/>
      <w:tcPr>
        <w:tcBorders>
          <w:bottom w:val="single" w:sz="12" w:space="0" w:color="FDBFC3" w:themeColor="accent5" w:themeTint="99"/>
        </w:tcBorders>
      </w:tcPr>
    </w:tblStylePr>
    <w:tblStylePr w:type="lastRow">
      <w:rPr>
        <w:b/>
        <w:bCs/>
      </w:rPr>
      <w:tblPr/>
      <w:tcPr>
        <w:tcBorders>
          <w:top w:val="double" w:sz="4" w:space="0" w:color="FDBFC3" w:themeColor="accent5" w:themeTint="99"/>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6ColorfulAccent6">
    <w:name w:val="Grid Table 6 Colorful Accent 6"/>
    <w:basedOn w:val="TableNormal"/>
    <w:uiPriority w:val="51"/>
    <w:rsid w:val="000141F7"/>
    <w:rPr>
      <w:color w:val="60DBA6" w:themeColor="accent6" w:themeShade="BF"/>
    </w:rPr>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rPr>
      <w:tblPr/>
      <w:tcPr>
        <w:tcBorders>
          <w:bottom w:val="single" w:sz="12" w:space="0" w:color="D3F5E6" w:themeColor="accent6" w:themeTint="99"/>
        </w:tcBorders>
      </w:tcPr>
    </w:tblStylePr>
    <w:tblStylePr w:type="lastRow">
      <w:rPr>
        <w:b/>
        <w:bCs/>
      </w:rPr>
      <w:tblPr/>
      <w:tcPr>
        <w:tcBorders>
          <w:top w:val="double" w:sz="4" w:space="0" w:color="D3F5E6" w:themeColor="accent6" w:themeTint="99"/>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7Colorful">
    <w:name w:val="Grid Table 7 Colorful"/>
    <w:basedOn w:val="TableNormal"/>
    <w:uiPriority w:val="52"/>
    <w:rsid w:val="000141F7"/>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7ColorfulAccent1">
    <w:name w:val="Grid Table 7 Colorful Accent 1"/>
    <w:basedOn w:val="TableNormal"/>
    <w:uiPriority w:val="52"/>
    <w:rsid w:val="000141F7"/>
    <w:rPr>
      <w:color w:val="3CD493" w:themeColor="accent1" w:themeShade="BF"/>
    </w:rPr>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bottom w:val="single" w:sz="4" w:space="0" w:color="B7EFD7" w:themeColor="accent1" w:themeTint="99"/>
        </w:tcBorders>
      </w:tcPr>
    </w:tblStylePr>
    <w:tblStylePr w:type="nwCell">
      <w:tblPr/>
      <w:tcPr>
        <w:tcBorders>
          <w:bottom w:val="single" w:sz="4" w:space="0" w:color="B7EFD7" w:themeColor="accent1" w:themeTint="99"/>
        </w:tcBorders>
      </w:tcPr>
    </w:tblStylePr>
    <w:tblStylePr w:type="seCell">
      <w:tblPr/>
      <w:tcPr>
        <w:tcBorders>
          <w:top w:val="single" w:sz="4" w:space="0" w:color="B7EFD7" w:themeColor="accent1" w:themeTint="99"/>
        </w:tcBorders>
      </w:tcPr>
    </w:tblStylePr>
    <w:tblStylePr w:type="swCell">
      <w:tblPr/>
      <w:tcPr>
        <w:tcBorders>
          <w:top w:val="single" w:sz="4" w:space="0" w:color="B7EFD7" w:themeColor="accent1" w:themeTint="99"/>
        </w:tcBorders>
      </w:tcPr>
    </w:tblStylePr>
  </w:style>
  <w:style w:type="table" w:styleId="GridTable7ColorfulAccent2">
    <w:name w:val="Grid Table 7 Colorful Accent 2"/>
    <w:basedOn w:val="TableNormal"/>
    <w:uiPriority w:val="52"/>
    <w:rsid w:val="000141F7"/>
    <w:rPr>
      <w:color w:val="1EA1CA" w:themeColor="accent2" w:themeShade="BF"/>
    </w:rPr>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bottom w:val="single" w:sz="4" w:space="0" w:color="97DAEF" w:themeColor="accent2" w:themeTint="99"/>
        </w:tcBorders>
      </w:tcPr>
    </w:tblStylePr>
    <w:tblStylePr w:type="nwCell">
      <w:tblPr/>
      <w:tcPr>
        <w:tcBorders>
          <w:bottom w:val="single" w:sz="4" w:space="0" w:color="97DAEF" w:themeColor="accent2" w:themeTint="99"/>
        </w:tcBorders>
      </w:tcPr>
    </w:tblStylePr>
    <w:tblStylePr w:type="seCell">
      <w:tblPr/>
      <w:tcPr>
        <w:tcBorders>
          <w:top w:val="single" w:sz="4" w:space="0" w:color="97DAEF" w:themeColor="accent2" w:themeTint="99"/>
        </w:tcBorders>
      </w:tcPr>
    </w:tblStylePr>
    <w:tblStylePr w:type="swCell">
      <w:tblPr/>
      <w:tcPr>
        <w:tcBorders>
          <w:top w:val="single" w:sz="4" w:space="0" w:color="97DAEF" w:themeColor="accent2" w:themeTint="99"/>
        </w:tcBorders>
      </w:tcPr>
    </w:tblStylePr>
  </w:style>
  <w:style w:type="table" w:styleId="GridTable7ColorfulAccent3">
    <w:name w:val="Grid Table 7 Colorful Accent 3"/>
    <w:basedOn w:val="TableNormal"/>
    <w:uiPriority w:val="52"/>
    <w:rsid w:val="000141F7"/>
    <w:rPr>
      <w:color w:val="3147EC" w:themeColor="accent3" w:themeShade="BF"/>
    </w:rPr>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bottom w:val="single" w:sz="4" w:space="0" w:color="B7BFF8" w:themeColor="accent3" w:themeTint="99"/>
        </w:tcBorders>
      </w:tcPr>
    </w:tblStylePr>
    <w:tblStylePr w:type="nwCell">
      <w:tblPr/>
      <w:tcPr>
        <w:tcBorders>
          <w:bottom w:val="single" w:sz="4" w:space="0" w:color="B7BFF8" w:themeColor="accent3" w:themeTint="99"/>
        </w:tcBorders>
      </w:tcPr>
    </w:tblStylePr>
    <w:tblStylePr w:type="seCell">
      <w:tblPr/>
      <w:tcPr>
        <w:tcBorders>
          <w:top w:val="single" w:sz="4" w:space="0" w:color="B7BFF8" w:themeColor="accent3" w:themeTint="99"/>
        </w:tcBorders>
      </w:tcPr>
    </w:tblStylePr>
    <w:tblStylePr w:type="swCell">
      <w:tblPr/>
      <w:tcPr>
        <w:tcBorders>
          <w:top w:val="single" w:sz="4" w:space="0" w:color="B7BFF8" w:themeColor="accent3" w:themeTint="99"/>
        </w:tcBorders>
      </w:tcPr>
    </w:tblStylePr>
  </w:style>
  <w:style w:type="table" w:styleId="GridTable7ColorfulAccent4">
    <w:name w:val="Grid Table 7 Colorful Accent 4"/>
    <w:basedOn w:val="TableNormal"/>
    <w:uiPriority w:val="52"/>
    <w:rsid w:val="000141F7"/>
    <w:rPr>
      <w:color w:val="D752D7" w:themeColor="accent4" w:themeShade="BF"/>
    </w:rPr>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bottom w:val="single" w:sz="4" w:space="0" w:color="F2C8F2" w:themeColor="accent4" w:themeTint="99"/>
        </w:tcBorders>
      </w:tcPr>
    </w:tblStylePr>
    <w:tblStylePr w:type="nwCell">
      <w:tblPr/>
      <w:tcPr>
        <w:tcBorders>
          <w:bottom w:val="single" w:sz="4" w:space="0" w:color="F2C8F2" w:themeColor="accent4" w:themeTint="99"/>
        </w:tcBorders>
      </w:tcPr>
    </w:tblStylePr>
    <w:tblStylePr w:type="seCell">
      <w:tblPr/>
      <w:tcPr>
        <w:tcBorders>
          <w:top w:val="single" w:sz="4" w:space="0" w:color="F2C8F2" w:themeColor="accent4" w:themeTint="99"/>
        </w:tcBorders>
      </w:tcPr>
    </w:tblStylePr>
    <w:tblStylePr w:type="swCell">
      <w:tblPr/>
      <w:tcPr>
        <w:tcBorders>
          <w:top w:val="single" w:sz="4" w:space="0" w:color="F2C8F2" w:themeColor="accent4" w:themeTint="99"/>
        </w:tcBorders>
      </w:tcPr>
    </w:tblStylePr>
  </w:style>
  <w:style w:type="table" w:styleId="GridTable7ColorfulAccent5">
    <w:name w:val="Grid Table 7 Colorful Accent 5"/>
    <w:basedOn w:val="TableNormal"/>
    <w:uiPriority w:val="52"/>
    <w:rsid w:val="000141F7"/>
    <w:rPr>
      <w:color w:val="FB323D" w:themeColor="accent5" w:themeShade="BF"/>
    </w:rPr>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bottom w:val="single" w:sz="4" w:space="0" w:color="FDBFC3" w:themeColor="accent5" w:themeTint="99"/>
        </w:tcBorders>
      </w:tcPr>
    </w:tblStylePr>
    <w:tblStylePr w:type="nwCell">
      <w:tblPr/>
      <w:tcPr>
        <w:tcBorders>
          <w:bottom w:val="single" w:sz="4" w:space="0" w:color="FDBFC3" w:themeColor="accent5" w:themeTint="99"/>
        </w:tcBorders>
      </w:tcPr>
    </w:tblStylePr>
    <w:tblStylePr w:type="seCell">
      <w:tblPr/>
      <w:tcPr>
        <w:tcBorders>
          <w:top w:val="single" w:sz="4" w:space="0" w:color="FDBFC3" w:themeColor="accent5" w:themeTint="99"/>
        </w:tcBorders>
      </w:tcPr>
    </w:tblStylePr>
    <w:tblStylePr w:type="swCell">
      <w:tblPr/>
      <w:tcPr>
        <w:tcBorders>
          <w:top w:val="single" w:sz="4" w:space="0" w:color="FDBFC3" w:themeColor="accent5" w:themeTint="99"/>
        </w:tcBorders>
      </w:tcPr>
    </w:tblStylePr>
  </w:style>
  <w:style w:type="table" w:styleId="GridTable7ColorfulAccent6">
    <w:name w:val="Grid Table 7 Colorful Accent 6"/>
    <w:basedOn w:val="TableNormal"/>
    <w:uiPriority w:val="52"/>
    <w:rsid w:val="000141F7"/>
    <w:rPr>
      <w:color w:val="60DBA6" w:themeColor="accent6" w:themeShade="BF"/>
    </w:rPr>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sz="4" w:space="0" w:color="D3F5E6" w:themeColor="accent6" w:themeTint="99"/>
        </w:tcBorders>
      </w:tcPr>
    </w:tblStylePr>
    <w:tblStylePr w:type="nwCell">
      <w:tblPr/>
      <w:tcPr>
        <w:tcBorders>
          <w:bottom w:val="single" w:sz="4" w:space="0" w:color="D3F5E6" w:themeColor="accent6" w:themeTint="99"/>
        </w:tcBorders>
      </w:tcPr>
    </w:tblStylePr>
    <w:tblStylePr w:type="seCell">
      <w:tblPr/>
      <w:tcPr>
        <w:tcBorders>
          <w:top w:val="single" w:sz="4" w:space="0" w:color="D3F5E6" w:themeColor="accent6" w:themeTint="99"/>
        </w:tcBorders>
      </w:tcPr>
    </w:tblStylePr>
    <w:tblStylePr w:type="swCell">
      <w:tblPr/>
      <w:tcPr>
        <w:tcBorders>
          <w:top w:val="single" w:sz="4" w:space="0" w:color="D3F5E6" w:themeColor="accent6" w:themeTint="99"/>
        </w:tcBorders>
      </w:tcPr>
    </w:tblStylePr>
  </w:style>
  <w:style w:type="character" w:customStyle="1" w:styleId="Hashtag1">
    <w:name w:val="Hashtag1"/>
    <w:basedOn w:val="DefaultParagraphFont"/>
    <w:uiPriority w:val="99"/>
    <w:semiHidden/>
    <w:rsid w:val="000141F7"/>
    <w:rPr>
      <w:color w:val="2B579A"/>
      <w:shd w:val="clear" w:color="auto" w:fill="E1DFDD"/>
    </w:rPr>
  </w:style>
  <w:style w:type="character" w:styleId="HTMLAcronym">
    <w:name w:val="HTML Acronym"/>
    <w:basedOn w:val="DefaultParagraphFont"/>
    <w:uiPriority w:val="99"/>
    <w:semiHidden/>
    <w:rsid w:val="000141F7"/>
  </w:style>
  <w:style w:type="paragraph" w:styleId="HTMLAddress">
    <w:name w:val="HTML Address"/>
    <w:basedOn w:val="Normal"/>
    <w:link w:val="HTMLAddressChar"/>
    <w:uiPriority w:val="99"/>
    <w:semiHidden/>
    <w:rsid w:val="000141F7"/>
    <w:rPr>
      <w:i/>
      <w:iCs/>
    </w:rPr>
  </w:style>
  <w:style w:type="character" w:customStyle="1" w:styleId="HTMLAddressChar">
    <w:name w:val="HTML Address Char"/>
    <w:basedOn w:val="DefaultParagraphFont"/>
    <w:link w:val="HTMLAddress"/>
    <w:uiPriority w:val="99"/>
    <w:semiHidden/>
    <w:rsid w:val="000141F7"/>
    <w:rPr>
      <w:rFonts w:eastAsiaTheme="minorHAnsi" w:cstheme="minorBidi"/>
      <w:i/>
      <w:iCs/>
      <w:lang w:eastAsia="en-US"/>
    </w:rPr>
  </w:style>
  <w:style w:type="character" w:styleId="HTMLCite">
    <w:name w:val="HTML Cite"/>
    <w:basedOn w:val="DefaultParagraphFont"/>
    <w:uiPriority w:val="99"/>
    <w:semiHidden/>
    <w:rsid w:val="000141F7"/>
    <w:rPr>
      <w:i/>
      <w:iCs/>
    </w:rPr>
  </w:style>
  <w:style w:type="character" w:styleId="HTMLCode">
    <w:name w:val="HTML Code"/>
    <w:basedOn w:val="DefaultParagraphFont"/>
    <w:uiPriority w:val="99"/>
    <w:semiHidden/>
    <w:rsid w:val="000141F7"/>
    <w:rPr>
      <w:rFonts w:ascii="Consolas" w:hAnsi="Consolas"/>
      <w:sz w:val="20"/>
      <w:szCs w:val="20"/>
    </w:rPr>
  </w:style>
  <w:style w:type="character" w:styleId="HTMLDefinition">
    <w:name w:val="HTML Definition"/>
    <w:basedOn w:val="DefaultParagraphFont"/>
    <w:uiPriority w:val="99"/>
    <w:semiHidden/>
    <w:rsid w:val="000141F7"/>
    <w:rPr>
      <w:i/>
      <w:iCs/>
    </w:rPr>
  </w:style>
  <w:style w:type="character" w:styleId="HTMLKeyboard">
    <w:name w:val="HTML Keyboard"/>
    <w:basedOn w:val="DefaultParagraphFont"/>
    <w:uiPriority w:val="99"/>
    <w:semiHidden/>
    <w:rsid w:val="000141F7"/>
    <w:rPr>
      <w:rFonts w:ascii="Consolas" w:hAnsi="Consolas"/>
      <w:sz w:val="20"/>
      <w:szCs w:val="20"/>
    </w:rPr>
  </w:style>
  <w:style w:type="paragraph" w:styleId="HTMLPreformatted">
    <w:name w:val="HTML Preformatted"/>
    <w:basedOn w:val="Normal"/>
    <w:link w:val="HTMLPreformattedChar"/>
    <w:uiPriority w:val="99"/>
    <w:semiHidden/>
    <w:rsid w:val="000141F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141F7"/>
    <w:rPr>
      <w:rFonts w:ascii="Consolas" w:hAnsi="Consolas" w:eastAsiaTheme="minorHAnsi" w:cstheme="minorBidi"/>
      <w:sz w:val="20"/>
      <w:szCs w:val="20"/>
      <w:lang w:eastAsia="en-US"/>
    </w:rPr>
  </w:style>
  <w:style w:type="character" w:styleId="HTMLSample">
    <w:name w:val="HTML Sample"/>
    <w:basedOn w:val="DefaultParagraphFont"/>
    <w:uiPriority w:val="99"/>
    <w:semiHidden/>
    <w:rsid w:val="000141F7"/>
    <w:rPr>
      <w:rFonts w:ascii="Consolas" w:hAnsi="Consolas"/>
      <w:sz w:val="24"/>
      <w:szCs w:val="24"/>
    </w:rPr>
  </w:style>
  <w:style w:type="character" w:styleId="HTMLTypewriter">
    <w:name w:val="HTML Typewriter"/>
    <w:basedOn w:val="DefaultParagraphFont"/>
    <w:uiPriority w:val="99"/>
    <w:semiHidden/>
    <w:rsid w:val="000141F7"/>
    <w:rPr>
      <w:rFonts w:ascii="Consolas" w:hAnsi="Consolas"/>
      <w:sz w:val="20"/>
      <w:szCs w:val="20"/>
    </w:rPr>
  </w:style>
  <w:style w:type="character" w:styleId="HTMLVariable">
    <w:name w:val="HTML Variable"/>
    <w:basedOn w:val="DefaultParagraphFont"/>
    <w:uiPriority w:val="99"/>
    <w:semiHidden/>
    <w:rsid w:val="000141F7"/>
    <w:rPr>
      <w:i/>
      <w:iCs/>
    </w:rPr>
  </w:style>
  <w:style w:type="character" w:styleId="IntenseEmphasis">
    <w:name w:val="Intense Emphasis"/>
    <w:basedOn w:val="DefaultParagraphFont"/>
    <w:uiPriority w:val="21"/>
    <w:semiHidden/>
    <w:qFormat/>
    <w:rsid w:val="000141F7"/>
    <w:rPr>
      <w:i/>
      <w:iCs/>
      <w:color w:val="88E5BD" w:themeColor="accent1"/>
    </w:rPr>
  </w:style>
  <w:style w:type="paragraph" w:styleId="IntenseQuote">
    <w:name w:val="Intense Quote"/>
    <w:basedOn w:val="Normal"/>
    <w:next w:val="Normal"/>
    <w:link w:val="IntenseQuoteChar"/>
    <w:uiPriority w:val="30"/>
    <w:semiHidden/>
    <w:qFormat/>
    <w:rsid w:val="000141F7"/>
    <w:pPr>
      <w:pBdr>
        <w:top w:val="single" w:sz="4" w:space="10" w:color="88E5BD" w:themeColor="accent1"/>
        <w:bottom w:val="single" w:sz="4" w:space="10" w:color="88E5BD" w:themeColor="accent1"/>
      </w:pBdr>
      <w:spacing w:before="360" w:after="360"/>
      <w:ind w:left="864" w:right="864"/>
      <w:jc w:val="center"/>
    </w:pPr>
    <w:rPr>
      <w:i/>
      <w:iCs/>
      <w:color w:val="88E5BD" w:themeColor="accent1"/>
    </w:rPr>
  </w:style>
  <w:style w:type="character" w:customStyle="1" w:styleId="IntenseQuoteChar">
    <w:name w:val="Intense Quote Char"/>
    <w:basedOn w:val="DefaultParagraphFont"/>
    <w:link w:val="IntenseQuote"/>
    <w:uiPriority w:val="30"/>
    <w:rsid w:val="000141F7"/>
    <w:rPr>
      <w:rFonts w:eastAsiaTheme="minorHAnsi" w:cstheme="minorBidi"/>
      <w:i/>
      <w:iCs/>
      <w:color w:val="88E5BD" w:themeColor="accent1"/>
      <w:lang w:eastAsia="en-US"/>
    </w:rPr>
  </w:style>
  <w:style w:type="character" w:styleId="IntenseReference">
    <w:name w:val="Intense Reference"/>
    <w:basedOn w:val="DefaultParagraphFont"/>
    <w:uiPriority w:val="32"/>
    <w:semiHidden/>
    <w:qFormat/>
    <w:rsid w:val="000141F7"/>
    <w:rPr>
      <w:b/>
      <w:bCs/>
      <w:smallCaps/>
      <w:color w:val="88E5BD" w:themeColor="accent1"/>
      <w:spacing w:val="5"/>
    </w:rPr>
  </w:style>
  <w:style w:type="table" w:styleId="LightGrid">
    <w:name w:val="Light Grid"/>
    <w:basedOn w:val="TableNormal"/>
    <w:uiPriority w:val="62"/>
    <w:semiHidden/>
    <w:rsid w:val="000141F7"/>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18" w:space="0" w:color="303030" w:themeColor="text1"/>
          <w:right w:val="single" w:sz="8" w:space="0" w:color="303030" w:themeColor="text1"/>
          <w:insideH w:val="nil"/>
          <w:insideV w:val="single" w:sz="8" w:space="0" w:color="30303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insideH w:val="nil"/>
          <w:insideV w:val="single" w:sz="8" w:space="0" w:color="30303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shd w:val="clear" w:color="auto" w:fill="CBCBCB" w:themeFill="text1" w:themeFillTint="3F"/>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shd w:val="clear" w:color="auto" w:fill="CBCBCB" w:themeFill="text1" w:themeFillTint="3F"/>
      </w:tcPr>
    </w:tblStylePr>
    <w:tblStylePr w:type="band2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tcPr>
    </w:tblStylePr>
  </w:style>
  <w:style w:type="table" w:styleId="LightGridAccent1">
    <w:name w:val="Light Grid Accent 1"/>
    <w:basedOn w:val="TableNormal"/>
    <w:uiPriority w:val="62"/>
    <w:semiHidden/>
    <w:rsid w:val="000141F7"/>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insideH w:val="single" w:sz="8" w:space="0" w:color="88E5BD" w:themeColor="accent1"/>
        <w:insideV w:val="single" w:sz="8" w:space="0" w:color="88E5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E5BD" w:themeColor="accent1"/>
          <w:left w:val="single" w:sz="8" w:space="0" w:color="88E5BD" w:themeColor="accent1"/>
          <w:bottom w:val="single" w:sz="18" w:space="0" w:color="88E5BD" w:themeColor="accent1"/>
          <w:right w:val="single" w:sz="8" w:space="0" w:color="88E5BD" w:themeColor="accent1"/>
          <w:insideH w:val="nil"/>
          <w:insideV w:val="single" w:sz="8" w:space="0" w:color="88E5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E5BD" w:themeColor="accent1"/>
          <w:left w:val="single" w:sz="8" w:space="0" w:color="88E5BD" w:themeColor="accent1"/>
          <w:bottom w:val="single" w:sz="8" w:space="0" w:color="88E5BD" w:themeColor="accent1"/>
          <w:right w:val="single" w:sz="8" w:space="0" w:color="88E5BD" w:themeColor="accent1"/>
          <w:insideH w:val="nil"/>
          <w:insideV w:val="single" w:sz="8" w:space="0" w:color="88E5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tcPr>
    </w:tblStylePr>
    <w:tblStylePr w:type="band1Vert">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shd w:val="clear" w:color="auto" w:fill="E1F8EE" w:themeFill="accent1" w:themeFillTint="3F"/>
      </w:tcPr>
    </w:tblStylePr>
    <w:tblStylePr w:type="band1Horz">
      <w:tblPr/>
      <w:tcPr>
        <w:tcBorders>
          <w:top w:val="single" w:sz="8" w:space="0" w:color="88E5BD" w:themeColor="accent1"/>
          <w:left w:val="single" w:sz="8" w:space="0" w:color="88E5BD" w:themeColor="accent1"/>
          <w:bottom w:val="single" w:sz="8" w:space="0" w:color="88E5BD" w:themeColor="accent1"/>
          <w:right w:val="single" w:sz="8" w:space="0" w:color="88E5BD" w:themeColor="accent1"/>
          <w:insideV w:val="single" w:sz="8" w:space="0" w:color="88E5BD" w:themeColor="accent1"/>
        </w:tcBorders>
        <w:shd w:val="clear" w:color="auto" w:fill="E1F8EE" w:themeFill="accent1" w:themeFillTint="3F"/>
      </w:tcPr>
    </w:tblStylePr>
    <w:tblStylePr w:type="band2Horz">
      <w:tblPr/>
      <w:tcPr>
        <w:tcBorders>
          <w:top w:val="single" w:sz="8" w:space="0" w:color="88E5BD" w:themeColor="accent1"/>
          <w:left w:val="single" w:sz="8" w:space="0" w:color="88E5BD" w:themeColor="accent1"/>
          <w:bottom w:val="single" w:sz="8" w:space="0" w:color="88E5BD" w:themeColor="accent1"/>
          <w:right w:val="single" w:sz="8" w:space="0" w:color="88E5BD" w:themeColor="accent1"/>
          <w:insideV w:val="single" w:sz="8" w:space="0" w:color="88E5BD" w:themeColor="accent1"/>
        </w:tcBorders>
      </w:tcPr>
    </w:tblStylePr>
  </w:style>
  <w:style w:type="table" w:styleId="LightGridAccent2">
    <w:name w:val="Light Grid Accent 2"/>
    <w:basedOn w:val="TableNormal"/>
    <w:uiPriority w:val="62"/>
    <w:semiHidden/>
    <w:rsid w:val="000141F7"/>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insideH w:val="single" w:sz="8" w:space="0" w:color="53C2E5" w:themeColor="accent2"/>
        <w:insideV w:val="single" w:sz="8" w:space="0" w:color="53C2E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C2E5" w:themeColor="accent2"/>
          <w:left w:val="single" w:sz="8" w:space="0" w:color="53C2E5" w:themeColor="accent2"/>
          <w:bottom w:val="single" w:sz="18" w:space="0" w:color="53C2E5" w:themeColor="accent2"/>
          <w:right w:val="single" w:sz="8" w:space="0" w:color="53C2E5" w:themeColor="accent2"/>
          <w:insideH w:val="nil"/>
          <w:insideV w:val="single" w:sz="8" w:space="0" w:color="53C2E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C2E5" w:themeColor="accent2"/>
          <w:left w:val="single" w:sz="8" w:space="0" w:color="53C2E5" w:themeColor="accent2"/>
          <w:bottom w:val="single" w:sz="8" w:space="0" w:color="53C2E5" w:themeColor="accent2"/>
          <w:right w:val="single" w:sz="8" w:space="0" w:color="53C2E5" w:themeColor="accent2"/>
          <w:insideH w:val="nil"/>
          <w:insideV w:val="single" w:sz="8" w:space="0" w:color="53C2E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tcPr>
    </w:tblStylePr>
    <w:tblStylePr w:type="band1Vert">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shd w:val="clear" w:color="auto" w:fill="D4EFF8" w:themeFill="accent2" w:themeFillTint="3F"/>
      </w:tcPr>
    </w:tblStylePr>
    <w:tblStylePr w:type="band1Horz">
      <w:tblPr/>
      <w:tcPr>
        <w:tcBorders>
          <w:top w:val="single" w:sz="8" w:space="0" w:color="53C2E5" w:themeColor="accent2"/>
          <w:left w:val="single" w:sz="8" w:space="0" w:color="53C2E5" w:themeColor="accent2"/>
          <w:bottom w:val="single" w:sz="8" w:space="0" w:color="53C2E5" w:themeColor="accent2"/>
          <w:right w:val="single" w:sz="8" w:space="0" w:color="53C2E5" w:themeColor="accent2"/>
          <w:insideV w:val="single" w:sz="8" w:space="0" w:color="53C2E5" w:themeColor="accent2"/>
        </w:tcBorders>
        <w:shd w:val="clear" w:color="auto" w:fill="D4EFF8" w:themeFill="accent2" w:themeFillTint="3F"/>
      </w:tcPr>
    </w:tblStylePr>
    <w:tblStylePr w:type="band2Horz">
      <w:tblPr/>
      <w:tcPr>
        <w:tcBorders>
          <w:top w:val="single" w:sz="8" w:space="0" w:color="53C2E5" w:themeColor="accent2"/>
          <w:left w:val="single" w:sz="8" w:space="0" w:color="53C2E5" w:themeColor="accent2"/>
          <w:bottom w:val="single" w:sz="8" w:space="0" w:color="53C2E5" w:themeColor="accent2"/>
          <w:right w:val="single" w:sz="8" w:space="0" w:color="53C2E5" w:themeColor="accent2"/>
          <w:insideV w:val="single" w:sz="8" w:space="0" w:color="53C2E5" w:themeColor="accent2"/>
        </w:tcBorders>
      </w:tcPr>
    </w:tblStylePr>
  </w:style>
  <w:style w:type="table" w:styleId="LightGridAccent3">
    <w:name w:val="Light Grid Accent 3"/>
    <w:basedOn w:val="TableNormal"/>
    <w:uiPriority w:val="62"/>
    <w:semiHidden/>
    <w:rsid w:val="000141F7"/>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insideH w:val="single" w:sz="8" w:space="0" w:color="8996F4" w:themeColor="accent3"/>
        <w:insideV w:val="single" w:sz="8" w:space="0" w:color="8996F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96F4" w:themeColor="accent3"/>
          <w:left w:val="single" w:sz="8" w:space="0" w:color="8996F4" w:themeColor="accent3"/>
          <w:bottom w:val="single" w:sz="18" w:space="0" w:color="8996F4" w:themeColor="accent3"/>
          <w:right w:val="single" w:sz="8" w:space="0" w:color="8996F4" w:themeColor="accent3"/>
          <w:insideH w:val="nil"/>
          <w:insideV w:val="single" w:sz="8" w:space="0" w:color="8996F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96F4" w:themeColor="accent3"/>
          <w:left w:val="single" w:sz="8" w:space="0" w:color="8996F4" w:themeColor="accent3"/>
          <w:bottom w:val="single" w:sz="8" w:space="0" w:color="8996F4" w:themeColor="accent3"/>
          <w:right w:val="single" w:sz="8" w:space="0" w:color="8996F4" w:themeColor="accent3"/>
          <w:insideH w:val="nil"/>
          <w:insideV w:val="single" w:sz="8" w:space="0" w:color="8996F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tcPr>
    </w:tblStylePr>
    <w:tblStylePr w:type="band1Vert">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shd w:val="clear" w:color="auto" w:fill="E1E4FC" w:themeFill="accent3" w:themeFillTint="3F"/>
      </w:tcPr>
    </w:tblStylePr>
    <w:tblStylePr w:type="band1Horz">
      <w:tblPr/>
      <w:tcPr>
        <w:tcBorders>
          <w:top w:val="single" w:sz="8" w:space="0" w:color="8996F4" w:themeColor="accent3"/>
          <w:left w:val="single" w:sz="8" w:space="0" w:color="8996F4" w:themeColor="accent3"/>
          <w:bottom w:val="single" w:sz="8" w:space="0" w:color="8996F4" w:themeColor="accent3"/>
          <w:right w:val="single" w:sz="8" w:space="0" w:color="8996F4" w:themeColor="accent3"/>
          <w:insideV w:val="single" w:sz="8" w:space="0" w:color="8996F4" w:themeColor="accent3"/>
        </w:tcBorders>
        <w:shd w:val="clear" w:color="auto" w:fill="E1E4FC" w:themeFill="accent3" w:themeFillTint="3F"/>
      </w:tcPr>
    </w:tblStylePr>
    <w:tblStylePr w:type="band2Horz">
      <w:tblPr/>
      <w:tcPr>
        <w:tcBorders>
          <w:top w:val="single" w:sz="8" w:space="0" w:color="8996F4" w:themeColor="accent3"/>
          <w:left w:val="single" w:sz="8" w:space="0" w:color="8996F4" w:themeColor="accent3"/>
          <w:bottom w:val="single" w:sz="8" w:space="0" w:color="8996F4" w:themeColor="accent3"/>
          <w:right w:val="single" w:sz="8" w:space="0" w:color="8996F4" w:themeColor="accent3"/>
          <w:insideV w:val="single" w:sz="8" w:space="0" w:color="8996F4" w:themeColor="accent3"/>
        </w:tcBorders>
      </w:tcPr>
    </w:tblStylePr>
  </w:style>
  <w:style w:type="table" w:styleId="LightGridAccent4">
    <w:name w:val="Light Grid Accent 4"/>
    <w:basedOn w:val="TableNormal"/>
    <w:uiPriority w:val="62"/>
    <w:semiHidden/>
    <w:rsid w:val="000141F7"/>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insideH w:val="single" w:sz="8" w:space="0" w:color="EAA4EA" w:themeColor="accent4"/>
        <w:insideV w:val="single" w:sz="8" w:space="0" w:color="EAA4E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A4EA" w:themeColor="accent4"/>
          <w:left w:val="single" w:sz="8" w:space="0" w:color="EAA4EA" w:themeColor="accent4"/>
          <w:bottom w:val="single" w:sz="18" w:space="0" w:color="EAA4EA" w:themeColor="accent4"/>
          <w:right w:val="single" w:sz="8" w:space="0" w:color="EAA4EA" w:themeColor="accent4"/>
          <w:insideH w:val="nil"/>
          <w:insideV w:val="single" w:sz="8" w:space="0" w:color="EAA4E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A4EA" w:themeColor="accent4"/>
          <w:left w:val="single" w:sz="8" w:space="0" w:color="EAA4EA" w:themeColor="accent4"/>
          <w:bottom w:val="single" w:sz="8" w:space="0" w:color="EAA4EA" w:themeColor="accent4"/>
          <w:right w:val="single" w:sz="8" w:space="0" w:color="EAA4EA" w:themeColor="accent4"/>
          <w:insideH w:val="nil"/>
          <w:insideV w:val="single" w:sz="8" w:space="0" w:color="EAA4E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tcPr>
    </w:tblStylePr>
    <w:tblStylePr w:type="band1Vert">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shd w:val="clear" w:color="auto" w:fill="F9E8F9" w:themeFill="accent4" w:themeFillTint="3F"/>
      </w:tcPr>
    </w:tblStylePr>
    <w:tblStylePr w:type="band1Horz">
      <w:tblPr/>
      <w:tcPr>
        <w:tcBorders>
          <w:top w:val="single" w:sz="8" w:space="0" w:color="EAA4EA" w:themeColor="accent4"/>
          <w:left w:val="single" w:sz="8" w:space="0" w:color="EAA4EA" w:themeColor="accent4"/>
          <w:bottom w:val="single" w:sz="8" w:space="0" w:color="EAA4EA" w:themeColor="accent4"/>
          <w:right w:val="single" w:sz="8" w:space="0" w:color="EAA4EA" w:themeColor="accent4"/>
          <w:insideV w:val="single" w:sz="8" w:space="0" w:color="EAA4EA" w:themeColor="accent4"/>
        </w:tcBorders>
        <w:shd w:val="clear" w:color="auto" w:fill="F9E8F9" w:themeFill="accent4" w:themeFillTint="3F"/>
      </w:tcPr>
    </w:tblStylePr>
    <w:tblStylePr w:type="band2Horz">
      <w:tblPr/>
      <w:tcPr>
        <w:tcBorders>
          <w:top w:val="single" w:sz="8" w:space="0" w:color="EAA4EA" w:themeColor="accent4"/>
          <w:left w:val="single" w:sz="8" w:space="0" w:color="EAA4EA" w:themeColor="accent4"/>
          <w:bottom w:val="single" w:sz="8" w:space="0" w:color="EAA4EA" w:themeColor="accent4"/>
          <w:right w:val="single" w:sz="8" w:space="0" w:color="EAA4EA" w:themeColor="accent4"/>
          <w:insideV w:val="single" w:sz="8" w:space="0" w:color="EAA4EA" w:themeColor="accent4"/>
        </w:tcBorders>
      </w:tcPr>
    </w:tblStylePr>
  </w:style>
  <w:style w:type="table" w:styleId="LightGridAccent5">
    <w:name w:val="Light Grid Accent 5"/>
    <w:basedOn w:val="TableNormal"/>
    <w:uiPriority w:val="62"/>
    <w:semiHidden/>
    <w:rsid w:val="000141F7"/>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insideH w:val="single" w:sz="8" w:space="0" w:color="FD969C" w:themeColor="accent5"/>
        <w:insideV w:val="single" w:sz="8" w:space="0" w:color="FD969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969C" w:themeColor="accent5"/>
          <w:left w:val="single" w:sz="8" w:space="0" w:color="FD969C" w:themeColor="accent5"/>
          <w:bottom w:val="single" w:sz="18" w:space="0" w:color="FD969C" w:themeColor="accent5"/>
          <w:right w:val="single" w:sz="8" w:space="0" w:color="FD969C" w:themeColor="accent5"/>
          <w:insideH w:val="nil"/>
          <w:insideV w:val="single" w:sz="8" w:space="0" w:color="FD969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969C" w:themeColor="accent5"/>
          <w:left w:val="single" w:sz="8" w:space="0" w:color="FD969C" w:themeColor="accent5"/>
          <w:bottom w:val="single" w:sz="8" w:space="0" w:color="FD969C" w:themeColor="accent5"/>
          <w:right w:val="single" w:sz="8" w:space="0" w:color="FD969C" w:themeColor="accent5"/>
          <w:insideH w:val="nil"/>
          <w:insideV w:val="single" w:sz="8" w:space="0" w:color="FD969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tcPr>
    </w:tblStylePr>
    <w:tblStylePr w:type="band1Vert">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shd w:val="clear" w:color="auto" w:fill="FEE4E6" w:themeFill="accent5" w:themeFillTint="3F"/>
      </w:tcPr>
    </w:tblStylePr>
    <w:tblStylePr w:type="band1Horz">
      <w:tblPr/>
      <w:tcPr>
        <w:tcBorders>
          <w:top w:val="single" w:sz="8" w:space="0" w:color="FD969C" w:themeColor="accent5"/>
          <w:left w:val="single" w:sz="8" w:space="0" w:color="FD969C" w:themeColor="accent5"/>
          <w:bottom w:val="single" w:sz="8" w:space="0" w:color="FD969C" w:themeColor="accent5"/>
          <w:right w:val="single" w:sz="8" w:space="0" w:color="FD969C" w:themeColor="accent5"/>
          <w:insideV w:val="single" w:sz="8" w:space="0" w:color="FD969C" w:themeColor="accent5"/>
        </w:tcBorders>
        <w:shd w:val="clear" w:color="auto" w:fill="FEE4E6" w:themeFill="accent5" w:themeFillTint="3F"/>
      </w:tcPr>
    </w:tblStylePr>
    <w:tblStylePr w:type="band2Horz">
      <w:tblPr/>
      <w:tcPr>
        <w:tcBorders>
          <w:top w:val="single" w:sz="8" w:space="0" w:color="FD969C" w:themeColor="accent5"/>
          <w:left w:val="single" w:sz="8" w:space="0" w:color="FD969C" w:themeColor="accent5"/>
          <w:bottom w:val="single" w:sz="8" w:space="0" w:color="FD969C" w:themeColor="accent5"/>
          <w:right w:val="single" w:sz="8" w:space="0" w:color="FD969C" w:themeColor="accent5"/>
          <w:insideV w:val="single" w:sz="8" w:space="0" w:color="FD969C" w:themeColor="accent5"/>
        </w:tcBorders>
      </w:tcPr>
    </w:tblStylePr>
  </w:style>
  <w:style w:type="table" w:styleId="LightGridAccent6">
    <w:name w:val="Light Grid Accent 6"/>
    <w:basedOn w:val="TableNormal"/>
    <w:uiPriority w:val="62"/>
    <w:semiHidden/>
    <w:rsid w:val="000141F7"/>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insideH w:val="single" w:sz="8" w:space="0" w:color="B7EFD7" w:themeColor="accent6"/>
        <w:insideV w:val="single" w:sz="8" w:space="0" w:color="B7EF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EFD7" w:themeColor="accent6"/>
          <w:left w:val="single" w:sz="8" w:space="0" w:color="B7EFD7" w:themeColor="accent6"/>
          <w:bottom w:val="single" w:sz="18" w:space="0" w:color="B7EFD7" w:themeColor="accent6"/>
          <w:right w:val="single" w:sz="8" w:space="0" w:color="B7EFD7" w:themeColor="accent6"/>
          <w:insideH w:val="nil"/>
          <w:insideV w:val="single" w:sz="8" w:space="0" w:color="B7EF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EFD7" w:themeColor="accent6"/>
          <w:left w:val="single" w:sz="8" w:space="0" w:color="B7EFD7" w:themeColor="accent6"/>
          <w:bottom w:val="single" w:sz="8" w:space="0" w:color="B7EFD7" w:themeColor="accent6"/>
          <w:right w:val="single" w:sz="8" w:space="0" w:color="B7EFD7" w:themeColor="accent6"/>
          <w:insideH w:val="nil"/>
          <w:insideV w:val="single" w:sz="8" w:space="0" w:color="B7EF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tcPr>
    </w:tblStylePr>
    <w:tblStylePr w:type="band1Vert">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shd w:val="clear" w:color="auto" w:fill="EDFBF4" w:themeFill="accent6" w:themeFillTint="3F"/>
      </w:tcPr>
    </w:tblStylePr>
    <w:tblStylePr w:type="band1Horz">
      <w:tblPr/>
      <w:tcPr>
        <w:tcBorders>
          <w:top w:val="single" w:sz="8" w:space="0" w:color="B7EFD7" w:themeColor="accent6"/>
          <w:left w:val="single" w:sz="8" w:space="0" w:color="B7EFD7" w:themeColor="accent6"/>
          <w:bottom w:val="single" w:sz="8" w:space="0" w:color="B7EFD7" w:themeColor="accent6"/>
          <w:right w:val="single" w:sz="8" w:space="0" w:color="B7EFD7" w:themeColor="accent6"/>
          <w:insideV w:val="single" w:sz="8" w:space="0" w:color="B7EFD7" w:themeColor="accent6"/>
        </w:tcBorders>
        <w:shd w:val="clear" w:color="auto" w:fill="EDFBF4" w:themeFill="accent6" w:themeFillTint="3F"/>
      </w:tcPr>
    </w:tblStylePr>
    <w:tblStylePr w:type="band2Horz">
      <w:tblPr/>
      <w:tcPr>
        <w:tcBorders>
          <w:top w:val="single" w:sz="8" w:space="0" w:color="B7EFD7" w:themeColor="accent6"/>
          <w:left w:val="single" w:sz="8" w:space="0" w:color="B7EFD7" w:themeColor="accent6"/>
          <w:bottom w:val="single" w:sz="8" w:space="0" w:color="B7EFD7" w:themeColor="accent6"/>
          <w:right w:val="single" w:sz="8" w:space="0" w:color="B7EFD7" w:themeColor="accent6"/>
          <w:insideV w:val="single" w:sz="8" w:space="0" w:color="B7EFD7" w:themeColor="accent6"/>
        </w:tcBorders>
      </w:tcPr>
    </w:tblStylePr>
  </w:style>
  <w:style w:type="table" w:styleId="LightList">
    <w:name w:val="Light List"/>
    <w:basedOn w:val="TableNormal"/>
    <w:uiPriority w:val="61"/>
    <w:semiHidden/>
    <w:rsid w:val="000141F7"/>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pPr>
        <w:spacing w:before="0" w:after="0" w:line="240" w:lineRule="auto"/>
      </w:pPr>
      <w:rPr>
        <w:b/>
        <w:bCs/>
        <w:color w:val="FFFFFF" w:themeColor="background1"/>
      </w:rPr>
      <w:tblPr/>
      <w:tcPr>
        <w:shd w:val="clear" w:color="auto" w:fill="303030" w:themeFill="text1"/>
      </w:tcPr>
    </w:tblStylePr>
    <w:tblStylePr w:type="lastRow">
      <w:pPr>
        <w:spacing w:before="0" w:after="0" w:line="240" w:lineRule="auto"/>
      </w:pPr>
      <w:rPr>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tcBorders>
      </w:tcPr>
    </w:tblStylePr>
    <w:tblStylePr w:type="firstCol">
      <w:rPr>
        <w:b/>
        <w:bCs/>
      </w:rPr>
    </w:tblStylePr>
    <w:tblStylePr w:type="lastCol">
      <w:rPr>
        <w:b/>
        <w:bCs/>
      </w:r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style>
  <w:style w:type="table" w:styleId="LightListAccent1">
    <w:name w:val="Light List Accent 1"/>
    <w:basedOn w:val="TableNormal"/>
    <w:uiPriority w:val="61"/>
    <w:semiHidden/>
    <w:rsid w:val="000141F7"/>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tblBorders>
    </w:tblPr>
    <w:tblStylePr w:type="firstRow">
      <w:pPr>
        <w:spacing w:before="0" w:after="0" w:line="240" w:lineRule="auto"/>
      </w:pPr>
      <w:rPr>
        <w:b/>
        <w:bCs/>
        <w:color w:val="FFFFFF" w:themeColor="background1"/>
      </w:rPr>
      <w:tblPr/>
      <w:tcPr>
        <w:shd w:val="clear" w:color="auto" w:fill="88E5BD" w:themeFill="accent1"/>
      </w:tcPr>
    </w:tblStylePr>
    <w:tblStylePr w:type="lastRow">
      <w:pPr>
        <w:spacing w:before="0" w:after="0" w:line="240" w:lineRule="auto"/>
      </w:pPr>
      <w:rPr>
        <w:b/>
        <w:bCs/>
      </w:rPr>
      <w:tblPr/>
      <w:tcPr>
        <w:tcBorders>
          <w:top w:val="double" w:sz="6" w:space="0" w:color="88E5BD" w:themeColor="accent1"/>
          <w:left w:val="single" w:sz="8" w:space="0" w:color="88E5BD" w:themeColor="accent1"/>
          <w:bottom w:val="single" w:sz="8" w:space="0" w:color="88E5BD" w:themeColor="accent1"/>
          <w:right w:val="single" w:sz="8" w:space="0" w:color="88E5BD" w:themeColor="accent1"/>
        </w:tcBorders>
      </w:tcPr>
    </w:tblStylePr>
    <w:tblStylePr w:type="firstCol">
      <w:rPr>
        <w:b/>
        <w:bCs/>
      </w:rPr>
    </w:tblStylePr>
    <w:tblStylePr w:type="lastCol">
      <w:rPr>
        <w:b/>
        <w:bCs/>
      </w:rPr>
    </w:tblStylePr>
    <w:tblStylePr w:type="band1Vert">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tcPr>
    </w:tblStylePr>
    <w:tblStylePr w:type="band1Horz">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tcPr>
    </w:tblStylePr>
  </w:style>
  <w:style w:type="table" w:styleId="LightListAccent2">
    <w:name w:val="Light List Accent 2"/>
    <w:basedOn w:val="TableNormal"/>
    <w:uiPriority w:val="61"/>
    <w:semiHidden/>
    <w:rsid w:val="000141F7"/>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tblBorders>
    </w:tblPr>
    <w:tblStylePr w:type="firstRow">
      <w:pPr>
        <w:spacing w:before="0" w:after="0" w:line="240" w:lineRule="auto"/>
      </w:pPr>
      <w:rPr>
        <w:b/>
        <w:bCs/>
        <w:color w:val="FFFFFF" w:themeColor="background1"/>
      </w:rPr>
      <w:tblPr/>
      <w:tcPr>
        <w:shd w:val="clear" w:color="auto" w:fill="53C2E5" w:themeFill="accent2"/>
      </w:tcPr>
    </w:tblStylePr>
    <w:tblStylePr w:type="lastRow">
      <w:pPr>
        <w:spacing w:before="0" w:after="0" w:line="240" w:lineRule="auto"/>
      </w:pPr>
      <w:rPr>
        <w:b/>
        <w:bCs/>
      </w:rPr>
      <w:tblPr/>
      <w:tcPr>
        <w:tcBorders>
          <w:top w:val="double" w:sz="6" w:space="0" w:color="53C2E5" w:themeColor="accent2"/>
          <w:left w:val="single" w:sz="8" w:space="0" w:color="53C2E5" w:themeColor="accent2"/>
          <w:bottom w:val="single" w:sz="8" w:space="0" w:color="53C2E5" w:themeColor="accent2"/>
          <w:right w:val="single" w:sz="8" w:space="0" w:color="53C2E5" w:themeColor="accent2"/>
        </w:tcBorders>
      </w:tcPr>
    </w:tblStylePr>
    <w:tblStylePr w:type="firstCol">
      <w:rPr>
        <w:b/>
        <w:bCs/>
      </w:rPr>
    </w:tblStylePr>
    <w:tblStylePr w:type="lastCol">
      <w:rPr>
        <w:b/>
        <w:bCs/>
      </w:rPr>
    </w:tblStylePr>
    <w:tblStylePr w:type="band1Vert">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tcPr>
    </w:tblStylePr>
    <w:tblStylePr w:type="band1Horz">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tcPr>
    </w:tblStylePr>
  </w:style>
  <w:style w:type="table" w:styleId="LightListAccent3">
    <w:name w:val="Light List Accent 3"/>
    <w:basedOn w:val="TableNormal"/>
    <w:uiPriority w:val="61"/>
    <w:semiHidden/>
    <w:rsid w:val="000141F7"/>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tblBorders>
    </w:tblPr>
    <w:tblStylePr w:type="firstRow">
      <w:pPr>
        <w:spacing w:before="0" w:after="0" w:line="240" w:lineRule="auto"/>
      </w:pPr>
      <w:rPr>
        <w:b/>
        <w:bCs/>
        <w:color w:val="FFFFFF" w:themeColor="background1"/>
      </w:rPr>
      <w:tblPr/>
      <w:tcPr>
        <w:shd w:val="clear" w:color="auto" w:fill="8996F4" w:themeFill="accent3"/>
      </w:tcPr>
    </w:tblStylePr>
    <w:tblStylePr w:type="lastRow">
      <w:pPr>
        <w:spacing w:before="0" w:after="0" w:line="240" w:lineRule="auto"/>
      </w:pPr>
      <w:rPr>
        <w:b/>
        <w:bCs/>
      </w:rPr>
      <w:tblPr/>
      <w:tcPr>
        <w:tcBorders>
          <w:top w:val="double" w:sz="6" w:space="0" w:color="8996F4" w:themeColor="accent3"/>
          <w:left w:val="single" w:sz="8" w:space="0" w:color="8996F4" w:themeColor="accent3"/>
          <w:bottom w:val="single" w:sz="8" w:space="0" w:color="8996F4" w:themeColor="accent3"/>
          <w:right w:val="single" w:sz="8" w:space="0" w:color="8996F4" w:themeColor="accent3"/>
        </w:tcBorders>
      </w:tcPr>
    </w:tblStylePr>
    <w:tblStylePr w:type="firstCol">
      <w:rPr>
        <w:b/>
        <w:bCs/>
      </w:rPr>
    </w:tblStylePr>
    <w:tblStylePr w:type="lastCol">
      <w:rPr>
        <w:b/>
        <w:bCs/>
      </w:rPr>
    </w:tblStylePr>
    <w:tblStylePr w:type="band1Vert">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tcPr>
    </w:tblStylePr>
    <w:tblStylePr w:type="band1Horz">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tcPr>
    </w:tblStylePr>
  </w:style>
  <w:style w:type="table" w:styleId="LightListAccent4">
    <w:name w:val="Light List Accent 4"/>
    <w:basedOn w:val="TableNormal"/>
    <w:uiPriority w:val="61"/>
    <w:semiHidden/>
    <w:rsid w:val="000141F7"/>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tblBorders>
    </w:tblPr>
    <w:tblStylePr w:type="firstRow">
      <w:pPr>
        <w:spacing w:before="0" w:after="0" w:line="240" w:lineRule="auto"/>
      </w:pPr>
      <w:rPr>
        <w:b/>
        <w:bCs/>
        <w:color w:val="FFFFFF" w:themeColor="background1"/>
      </w:rPr>
      <w:tblPr/>
      <w:tcPr>
        <w:shd w:val="clear" w:color="auto" w:fill="EAA4EA" w:themeFill="accent4"/>
      </w:tcPr>
    </w:tblStylePr>
    <w:tblStylePr w:type="lastRow">
      <w:pPr>
        <w:spacing w:before="0" w:after="0" w:line="240" w:lineRule="auto"/>
      </w:pPr>
      <w:rPr>
        <w:b/>
        <w:bCs/>
      </w:rPr>
      <w:tblPr/>
      <w:tcPr>
        <w:tcBorders>
          <w:top w:val="double" w:sz="6" w:space="0" w:color="EAA4EA" w:themeColor="accent4"/>
          <w:left w:val="single" w:sz="8" w:space="0" w:color="EAA4EA" w:themeColor="accent4"/>
          <w:bottom w:val="single" w:sz="8" w:space="0" w:color="EAA4EA" w:themeColor="accent4"/>
          <w:right w:val="single" w:sz="8" w:space="0" w:color="EAA4EA" w:themeColor="accent4"/>
        </w:tcBorders>
      </w:tcPr>
    </w:tblStylePr>
    <w:tblStylePr w:type="firstCol">
      <w:rPr>
        <w:b/>
        <w:bCs/>
      </w:rPr>
    </w:tblStylePr>
    <w:tblStylePr w:type="lastCol">
      <w:rPr>
        <w:b/>
        <w:bCs/>
      </w:rPr>
    </w:tblStylePr>
    <w:tblStylePr w:type="band1Vert">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tcPr>
    </w:tblStylePr>
    <w:tblStylePr w:type="band1Horz">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tcPr>
    </w:tblStylePr>
  </w:style>
  <w:style w:type="table" w:styleId="LightListAccent5">
    <w:name w:val="Light List Accent 5"/>
    <w:basedOn w:val="TableNormal"/>
    <w:uiPriority w:val="61"/>
    <w:semiHidden/>
    <w:rsid w:val="000141F7"/>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tblBorders>
    </w:tblPr>
    <w:tblStylePr w:type="firstRow">
      <w:pPr>
        <w:spacing w:before="0" w:after="0" w:line="240" w:lineRule="auto"/>
      </w:pPr>
      <w:rPr>
        <w:b/>
        <w:bCs/>
        <w:color w:val="FFFFFF" w:themeColor="background1"/>
      </w:rPr>
      <w:tblPr/>
      <w:tcPr>
        <w:shd w:val="clear" w:color="auto" w:fill="FD969C" w:themeFill="accent5"/>
      </w:tcPr>
    </w:tblStylePr>
    <w:tblStylePr w:type="lastRow">
      <w:pPr>
        <w:spacing w:before="0" w:after="0" w:line="240" w:lineRule="auto"/>
      </w:pPr>
      <w:rPr>
        <w:b/>
        <w:bCs/>
      </w:rPr>
      <w:tblPr/>
      <w:tcPr>
        <w:tcBorders>
          <w:top w:val="double" w:sz="6" w:space="0" w:color="FD969C" w:themeColor="accent5"/>
          <w:left w:val="single" w:sz="8" w:space="0" w:color="FD969C" w:themeColor="accent5"/>
          <w:bottom w:val="single" w:sz="8" w:space="0" w:color="FD969C" w:themeColor="accent5"/>
          <w:right w:val="single" w:sz="8" w:space="0" w:color="FD969C" w:themeColor="accent5"/>
        </w:tcBorders>
      </w:tcPr>
    </w:tblStylePr>
    <w:tblStylePr w:type="firstCol">
      <w:rPr>
        <w:b/>
        <w:bCs/>
      </w:rPr>
    </w:tblStylePr>
    <w:tblStylePr w:type="lastCol">
      <w:rPr>
        <w:b/>
        <w:bCs/>
      </w:rPr>
    </w:tblStylePr>
    <w:tblStylePr w:type="band1Vert">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tcPr>
    </w:tblStylePr>
    <w:tblStylePr w:type="band1Horz">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tcPr>
    </w:tblStylePr>
  </w:style>
  <w:style w:type="table" w:styleId="LightListAccent6">
    <w:name w:val="Light List Accent 6"/>
    <w:basedOn w:val="TableNormal"/>
    <w:uiPriority w:val="61"/>
    <w:semiHidden/>
    <w:rsid w:val="000141F7"/>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tblBorders>
    </w:tblPr>
    <w:tblStylePr w:type="firstRow">
      <w:pPr>
        <w:spacing w:before="0" w:after="0" w:line="240" w:lineRule="auto"/>
      </w:pPr>
      <w:rPr>
        <w:b/>
        <w:bCs/>
        <w:color w:val="FFFFFF" w:themeColor="background1"/>
      </w:rPr>
      <w:tblPr/>
      <w:tcPr>
        <w:shd w:val="clear" w:color="auto" w:fill="B7EFD7" w:themeFill="accent6"/>
      </w:tcPr>
    </w:tblStylePr>
    <w:tblStylePr w:type="lastRow">
      <w:pPr>
        <w:spacing w:before="0" w:after="0" w:line="240" w:lineRule="auto"/>
      </w:pPr>
      <w:rPr>
        <w:b/>
        <w:bCs/>
      </w:rPr>
      <w:tblPr/>
      <w:tcPr>
        <w:tcBorders>
          <w:top w:val="double" w:sz="6" w:space="0" w:color="B7EFD7" w:themeColor="accent6"/>
          <w:left w:val="single" w:sz="8" w:space="0" w:color="B7EFD7" w:themeColor="accent6"/>
          <w:bottom w:val="single" w:sz="8" w:space="0" w:color="B7EFD7" w:themeColor="accent6"/>
          <w:right w:val="single" w:sz="8" w:space="0" w:color="B7EFD7" w:themeColor="accent6"/>
        </w:tcBorders>
      </w:tcPr>
    </w:tblStylePr>
    <w:tblStylePr w:type="firstCol">
      <w:rPr>
        <w:b/>
        <w:bCs/>
      </w:rPr>
    </w:tblStylePr>
    <w:tblStylePr w:type="lastCol">
      <w:rPr>
        <w:b/>
        <w:bCs/>
      </w:rPr>
    </w:tblStylePr>
    <w:tblStylePr w:type="band1Vert">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tcPr>
    </w:tblStylePr>
    <w:tblStylePr w:type="band1Horz">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tcPr>
    </w:tblStylePr>
  </w:style>
  <w:style w:type="table" w:styleId="LightShading">
    <w:name w:val="Light Shading"/>
    <w:basedOn w:val="TableNormal"/>
    <w:uiPriority w:val="60"/>
    <w:semiHidden/>
    <w:rsid w:val="000141F7"/>
    <w:rPr>
      <w:color w:val="232323" w:themeColor="text1" w:themeShade="BF"/>
    </w:rPr>
    <w:tblPr>
      <w:tblStyleRowBandSize w:val="1"/>
      <w:tblStyleColBandSize w:val="1"/>
      <w:tblBorders>
        <w:top w:val="single" w:sz="8" w:space="0" w:color="303030" w:themeColor="text1"/>
        <w:bottom w:val="single" w:sz="8" w:space="0" w:color="303030" w:themeColor="text1"/>
      </w:tblBorders>
    </w:tblPr>
    <w:tblStylePr w:type="fir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la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1">
    <w:name w:val="Light Shading Accent 1"/>
    <w:basedOn w:val="TableNormal"/>
    <w:uiPriority w:val="60"/>
    <w:semiHidden/>
    <w:rsid w:val="000141F7"/>
    <w:rPr>
      <w:color w:val="3CD493" w:themeColor="accent1" w:themeShade="BF"/>
    </w:rPr>
    <w:tblPr>
      <w:tblStyleRowBandSize w:val="1"/>
      <w:tblStyleColBandSize w:val="1"/>
      <w:tblBorders>
        <w:top w:val="single" w:sz="8" w:space="0" w:color="88E5BD" w:themeColor="accent1"/>
        <w:bottom w:val="single" w:sz="8" w:space="0" w:color="88E5BD" w:themeColor="accent1"/>
      </w:tblBorders>
    </w:tblPr>
    <w:tblStylePr w:type="firstRow">
      <w:pPr>
        <w:spacing w:before="0" w:after="0" w:line="240" w:lineRule="auto"/>
      </w:pPr>
      <w:rPr>
        <w:b/>
        <w:bCs/>
      </w:rPr>
      <w:tblPr/>
      <w:tcPr>
        <w:tcBorders>
          <w:top w:val="single" w:sz="8" w:space="0" w:color="88E5BD" w:themeColor="accent1"/>
          <w:left w:val="nil"/>
          <w:bottom w:val="single" w:sz="8" w:space="0" w:color="88E5BD" w:themeColor="accent1"/>
          <w:right w:val="nil"/>
          <w:insideH w:val="nil"/>
          <w:insideV w:val="nil"/>
        </w:tcBorders>
      </w:tcPr>
    </w:tblStylePr>
    <w:tblStylePr w:type="lastRow">
      <w:pPr>
        <w:spacing w:before="0" w:after="0" w:line="240" w:lineRule="auto"/>
      </w:pPr>
      <w:rPr>
        <w:b/>
        <w:bCs/>
      </w:rPr>
      <w:tblPr/>
      <w:tcPr>
        <w:tcBorders>
          <w:top w:val="single" w:sz="8" w:space="0" w:color="88E5BD" w:themeColor="accent1"/>
          <w:left w:val="nil"/>
          <w:bottom w:val="single" w:sz="8" w:space="0" w:color="88E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8EE" w:themeFill="accent1" w:themeFillTint="3F"/>
      </w:tcPr>
    </w:tblStylePr>
    <w:tblStylePr w:type="band1Horz">
      <w:tblPr/>
      <w:tcPr>
        <w:tcBorders>
          <w:left w:val="nil"/>
          <w:right w:val="nil"/>
          <w:insideH w:val="nil"/>
          <w:insideV w:val="nil"/>
        </w:tcBorders>
        <w:shd w:val="clear" w:color="auto" w:fill="E1F8EE" w:themeFill="accent1" w:themeFillTint="3F"/>
      </w:tcPr>
    </w:tblStylePr>
  </w:style>
  <w:style w:type="table" w:styleId="LightShadingAccent2">
    <w:name w:val="Light Shading Accent 2"/>
    <w:basedOn w:val="TableNormal"/>
    <w:uiPriority w:val="60"/>
    <w:semiHidden/>
    <w:rsid w:val="000141F7"/>
    <w:rPr>
      <w:color w:val="1EA1CA" w:themeColor="accent2" w:themeShade="BF"/>
    </w:rPr>
    <w:tblPr>
      <w:tblStyleRowBandSize w:val="1"/>
      <w:tblStyleColBandSize w:val="1"/>
      <w:tblBorders>
        <w:top w:val="single" w:sz="8" w:space="0" w:color="53C2E5" w:themeColor="accent2"/>
        <w:bottom w:val="single" w:sz="8" w:space="0" w:color="53C2E5" w:themeColor="accent2"/>
      </w:tblBorders>
    </w:tblPr>
    <w:tblStylePr w:type="firstRow">
      <w:pPr>
        <w:spacing w:before="0" w:after="0" w:line="240" w:lineRule="auto"/>
      </w:pPr>
      <w:rPr>
        <w:b/>
        <w:bCs/>
      </w:rPr>
      <w:tblPr/>
      <w:tcPr>
        <w:tcBorders>
          <w:top w:val="single" w:sz="8" w:space="0" w:color="53C2E5" w:themeColor="accent2"/>
          <w:left w:val="nil"/>
          <w:bottom w:val="single" w:sz="8" w:space="0" w:color="53C2E5" w:themeColor="accent2"/>
          <w:right w:val="nil"/>
          <w:insideH w:val="nil"/>
          <w:insideV w:val="nil"/>
        </w:tcBorders>
      </w:tcPr>
    </w:tblStylePr>
    <w:tblStylePr w:type="lastRow">
      <w:pPr>
        <w:spacing w:before="0" w:after="0" w:line="240" w:lineRule="auto"/>
      </w:pPr>
      <w:rPr>
        <w:b/>
        <w:bCs/>
      </w:rPr>
      <w:tblPr/>
      <w:tcPr>
        <w:tcBorders>
          <w:top w:val="single" w:sz="8" w:space="0" w:color="53C2E5" w:themeColor="accent2"/>
          <w:left w:val="nil"/>
          <w:bottom w:val="single" w:sz="8" w:space="0" w:color="53C2E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FF8" w:themeFill="accent2" w:themeFillTint="3F"/>
      </w:tcPr>
    </w:tblStylePr>
    <w:tblStylePr w:type="band1Horz">
      <w:tblPr/>
      <w:tcPr>
        <w:tcBorders>
          <w:left w:val="nil"/>
          <w:right w:val="nil"/>
          <w:insideH w:val="nil"/>
          <w:insideV w:val="nil"/>
        </w:tcBorders>
        <w:shd w:val="clear" w:color="auto" w:fill="D4EFF8" w:themeFill="accent2" w:themeFillTint="3F"/>
      </w:tcPr>
    </w:tblStylePr>
  </w:style>
  <w:style w:type="table" w:styleId="LightShadingAccent3">
    <w:name w:val="Light Shading Accent 3"/>
    <w:basedOn w:val="TableNormal"/>
    <w:uiPriority w:val="60"/>
    <w:semiHidden/>
    <w:rsid w:val="000141F7"/>
    <w:rPr>
      <w:color w:val="3147EC" w:themeColor="accent3" w:themeShade="BF"/>
    </w:rPr>
    <w:tblPr>
      <w:tblStyleRowBandSize w:val="1"/>
      <w:tblStyleColBandSize w:val="1"/>
      <w:tblBorders>
        <w:top w:val="single" w:sz="8" w:space="0" w:color="8996F4" w:themeColor="accent3"/>
        <w:bottom w:val="single" w:sz="8" w:space="0" w:color="8996F4" w:themeColor="accent3"/>
      </w:tblBorders>
    </w:tblPr>
    <w:tblStylePr w:type="firstRow">
      <w:pPr>
        <w:spacing w:before="0" w:after="0" w:line="240" w:lineRule="auto"/>
      </w:pPr>
      <w:rPr>
        <w:b/>
        <w:bCs/>
      </w:rPr>
      <w:tblPr/>
      <w:tcPr>
        <w:tcBorders>
          <w:top w:val="single" w:sz="8" w:space="0" w:color="8996F4" w:themeColor="accent3"/>
          <w:left w:val="nil"/>
          <w:bottom w:val="single" w:sz="8" w:space="0" w:color="8996F4" w:themeColor="accent3"/>
          <w:right w:val="nil"/>
          <w:insideH w:val="nil"/>
          <w:insideV w:val="nil"/>
        </w:tcBorders>
      </w:tcPr>
    </w:tblStylePr>
    <w:tblStylePr w:type="lastRow">
      <w:pPr>
        <w:spacing w:before="0" w:after="0" w:line="240" w:lineRule="auto"/>
      </w:pPr>
      <w:rPr>
        <w:b/>
        <w:bCs/>
      </w:rPr>
      <w:tblPr/>
      <w:tcPr>
        <w:tcBorders>
          <w:top w:val="single" w:sz="8" w:space="0" w:color="8996F4" w:themeColor="accent3"/>
          <w:left w:val="nil"/>
          <w:bottom w:val="single" w:sz="8" w:space="0" w:color="8996F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4FC" w:themeFill="accent3" w:themeFillTint="3F"/>
      </w:tcPr>
    </w:tblStylePr>
    <w:tblStylePr w:type="band1Horz">
      <w:tblPr/>
      <w:tcPr>
        <w:tcBorders>
          <w:left w:val="nil"/>
          <w:right w:val="nil"/>
          <w:insideH w:val="nil"/>
          <w:insideV w:val="nil"/>
        </w:tcBorders>
        <w:shd w:val="clear" w:color="auto" w:fill="E1E4FC" w:themeFill="accent3" w:themeFillTint="3F"/>
      </w:tcPr>
    </w:tblStylePr>
  </w:style>
  <w:style w:type="table" w:styleId="LightShadingAccent4">
    <w:name w:val="Light Shading Accent 4"/>
    <w:basedOn w:val="TableNormal"/>
    <w:uiPriority w:val="60"/>
    <w:semiHidden/>
    <w:rsid w:val="000141F7"/>
    <w:rPr>
      <w:color w:val="D752D7" w:themeColor="accent4" w:themeShade="BF"/>
    </w:rPr>
    <w:tblPr>
      <w:tblStyleRowBandSize w:val="1"/>
      <w:tblStyleColBandSize w:val="1"/>
      <w:tblBorders>
        <w:top w:val="single" w:sz="8" w:space="0" w:color="EAA4EA" w:themeColor="accent4"/>
        <w:bottom w:val="single" w:sz="8" w:space="0" w:color="EAA4EA" w:themeColor="accent4"/>
      </w:tblBorders>
    </w:tblPr>
    <w:tblStylePr w:type="firstRow">
      <w:pPr>
        <w:spacing w:before="0" w:after="0" w:line="240" w:lineRule="auto"/>
      </w:pPr>
      <w:rPr>
        <w:b/>
        <w:bCs/>
      </w:rPr>
      <w:tblPr/>
      <w:tcPr>
        <w:tcBorders>
          <w:top w:val="single" w:sz="8" w:space="0" w:color="EAA4EA" w:themeColor="accent4"/>
          <w:left w:val="nil"/>
          <w:bottom w:val="single" w:sz="8" w:space="0" w:color="EAA4EA" w:themeColor="accent4"/>
          <w:right w:val="nil"/>
          <w:insideH w:val="nil"/>
          <w:insideV w:val="nil"/>
        </w:tcBorders>
      </w:tcPr>
    </w:tblStylePr>
    <w:tblStylePr w:type="lastRow">
      <w:pPr>
        <w:spacing w:before="0" w:after="0" w:line="240" w:lineRule="auto"/>
      </w:pPr>
      <w:rPr>
        <w:b/>
        <w:bCs/>
      </w:rPr>
      <w:tblPr/>
      <w:tcPr>
        <w:tcBorders>
          <w:top w:val="single" w:sz="8" w:space="0" w:color="EAA4EA" w:themeColor="accent4"/>
          <w:left w:val="nil"/>
          <w:bottom w:val="single" w:sz="8" w:space="0" w:color="EAA4E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8F9" w:themeFill="accent4" w:themeFillTint="3F"/>
      </w:tcPr>
    </w:tblStylePr>
    <w:tblStylePr w:type="band1Horz">
      <w:tblPr/>
      <w:tcPr>
        <w:tcBorders>
          <w:left w:val="nil"/>
          <w:right w:val="nil"/>
          <w:insideH w:val="nil"/>
          <w:insideV w:val="nil"/>
        </w:tcBorders>
        <w:shd w:val="clear" w:color="auto" w:fill="F9E8F9" w:themeFill="accent4" w:themeFillTint="3F"/>
      </w:tcPr>
    </w:tblStylePr>
  </w:style>
  <w:style w:type="table" w:styleId="LightShadingAccent5">
    <w:name w:val="Light Shading Accent 5"/>
    <w:basedOn w:val="TableNormal"/>
    <w:uiPriority w:val="60"/>
    <w:semiHidden/>
    <w:rsid w:val="000141F7"/>
    <w:rPr>
      <w:color w:val="FB323D" w:themeColor="accent5" w:themeShade="BF"/>
    </w:rPr>
    <w:tblPr>
      <w:tblStyleRowBandSize w:val="1"/>
      <w:tblStyleColBandSize w:val="1"/>
      <w:tblBorders>
        <w:top w:val="single" w:sz="8" w:space="0" w:color="FD969C" w:themeColor="accent5"/>
        <w:bottom w:val="single" w:sz="8" w:space="0" w:color="FD969C" w:themeColor="accent5"/>
      </w:tblBorders>
    </w:tblPr>
    <w:tblStylePr w:type="firstRow">
      <w:pPr>
        <w:spacing w:before="0" w:after="0" w:line="240" w:lineRule="auto"/>
      </w:pPr>
      <w:rPr>
        <w:b/>
        <w:bCs/>
      </w:rPr>
      <w:tblPr/>
      <w:tcPr>
        <w:tcBorders>
          <w:top w:val="single" w:sz="8" w:space="0" w:color="FD969C" w:themeColor="accent5"/>
          <w:left w:val="nil"/>
          <w:bottom w:val="single" w:sz="8" w:space="0" w:color="FD969C" w:themeColor="accent5"/>
          <w:right w:val="nil"/>
          <w:insideH w:val="nil"/>
          <w:insideV w:val="nil"/>
        </w:tcBorders>
      </w:tcPr>
    </w:tblStylePr>
    <w:tblStylePr w:type="lastRow">
      <w:pPr>
        <w:spacing w:before="0" w:after="0" w:line="240" w:lineRule="auto"/>
      </w:pPr>
      <w:rPr>
        <w:b/>
        <w:bCs/>
      </w:rPr>
      <w:tblPr/>
      <w:tcPr>
        <w:tcBorders>
          <w:top w:val="single" w:sz="8" w:space="0" w:color="FD969C" w:themeColor="accent5"/>
          <w:left w:val="nil"/>
          <w:bottom w:val="single" w:sz="8" w:space="0" w:color="FD969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4E6" w:themeFill="accent5" w:themeFillTint="3F"/>
      </w:tcPr>
    </w:tblStylePr>
    <w:tblStylePr w:type="band1Horz">
      <w:tblPr/>
      <w:tcPr>
        <w:tcBorders>
          <w:left w:val="nil"/>
          <w:right w:val="nil"/>
          <w:insideH w:val="nil"/>
          <w:insideV w:val="nil"/>
        </w:tcBorders>
        <w:shd w:val="clear" w:color="auto" w:fill="FEE4E6" w:themeFill="accent5" w:themeFillTint="3F"/>
      </w:tcPr>
    </w:tblStylePr>
  </w:style>
  <w:style w:type="table" w:styleId="LightShadingAccent6">
    <w:name w:val="Light Shading Accent 6"/>
    <w:basedOn w:val="TableNormal"/>
    <w:uiPriority w:val="60"/>
    <w:semiHidden/>
    <w:rsid w:val="000141F7"/>
    <w:rPr>
      <w:color w:val="60DBA6" w:themeColor="accent6" w:themeShade="BF"/>
    </w:rPr>
    <w:tblPr>
      <w:tblStyleRowBandSize w:val="1"/>
      <w:tblStyleColBandSize w:val="1"/>
      <w:tblBorders>
        <w:top w:val="single" w:sz="8" w:space="0" w:color="B7EFD7" w:themeColor="accent6"/>
        <w:bottom w:val="single" w:sz="8" w:space="0" w:color="B7EFD7" w:themeColor="accent6"/>
      </w:tblBorders>
    </w:tblPr>
    <w:tblStylePr w:type="firstRow">
      <w:pPr>
        <w:spacing w:before="0" w:after="0" w:line="240" w:lineRule="auto"/>
      </w:pPr>
      <w:rPr>
        <w:b/>
        <w:bCs/>
      </w:rPr>
      <w:tblPr/>
      <w:tcPr>
        <w:tcBorders>
          <w:top w:val="single" w:sz="8" w:space="0" w:color="B7EFD7" w:themeColor="accent6"/>
          <w:left w:val="nil"/>
          <w:bottom w:val="single" w:sz="8" w:space="0" w:color="B7EFD7" w:themeColor="accent6"/>
          <w:right w:val="nil"/>
          <w:insideH w:val="nil"/>
          <w:insideV w:val="nil"/>
        </w:tcBorders>
      </w:tcPr>
    </w:tblStylePr>
    <w:tblStylePr w:type="lastRow">
      <w:pPr>
        <w:spacing w:before="0" w:after="0" w:line="240" w:lineRule="auto"/>
      </w:pPr>
      <w:rPr>
        <w:b/>
        <w:bCs/>
      </w:rPr>
      <w:tblPr/>
      <w:tcPr>
        <w:tcBorders>
          <w:top w:val="single" w:sz="8" w:space="0" w:color="B7EFD7" w:themeColor="accent6"/>
          <w:left w:val="nil"/>
          <w:bottom w:val="single" w:sz="8" w:space="0" w:color="B7EF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left w:val="nil"/>
          <w:right w:val="nil"/>
          <w:insideH w:val="nil"/>
          <w:insideV w:val="nil"/>
        </w:tcBorders>
        <w:shd w:val="clear" w:color="auto" w:fill="EDFBF4" w:themeFill="accent6" w:themeFillTint="3F"/>
      </w:tcPr>
    </w:tblStylePr>
  </w:style>
  <w:style w:type="character" w:styleId="LineNumber">
    <w:name w:val="line number"/>
    <w:basedOn w:val="DefaultParagraphFont"/>
    <w:uiPriority w:val="99"/>
    <w:semiHidden/>
    <w:rsid w:val="000141F7"/>
  </w:style>
  <w:style w:type="paragraph" w:styleId="List">
    <w:name w:val="List"/>
    <w:basedOn w:val="Normal"/>
    <w:uiPriority w:val="99"/>
    <w:semiHidden/>
    <w:rsid w:val="000141F7"/>
    <w:pPr>
      <w:ind w:left="283" w:hanging="283"/>
      <w:contextualSpacing/>
    </w:pPr>
  </w:style>
  <w:style w:type="paragraph" w:styleId="List2">
    <w:name w:val="List 2"/>
    <w:basedOn w:val="Normal"/>
    <w:uiPriority w:val="99"/>
    <w:semiHidden/>
    <w:rsid w:val="000141F7"/>
    <w:pPr>
      <w:ind w:left="566" w:hanging="283"/>
      <w:contextualSpacing/>
    </w:pPr>
  </w:style>
  <w:style w:type="paragraph" w:styleId="List3">
    <w:name w:val="List 3"/>
    <w:basedOn w:val="Normal"/>
    <w:uiPriority w:val="99"/>
    <w:semiHidden/>
    <w:rsid w:val="000141F7"/>
    <w:pPr>
      <w:ind w:left="849" w:hanging="283"/>
      <w:contextualSpacing/>
    </w:pPr>
  </w:style>
  <w:style w:type="paragraph" w:styleId="List4">
    <w:name w:val="List 4"/>
    <w:basedOn w:val="Normal"/>
    <w:uiPriority w:val="99"/>
    <w:semiHidden/>
    <w:rsid w:val="000141F7"/>
    <w:pPr>
      <w:ind w:left="1132" w:hanging="283"/>
      <w:contextualSpacing/>
    </w:pPr>
  </w:style>
  <w:style w:type="paragraph" w:styleId="List5">
    <w:name w:val="List 5"/>
    <w:basedOn w:val="Normal"/>
    <w:uiPriority w:val="99"/>
    <w:semiHidden/>
    <w:rsid w:val="000141F7"/>
    <w:pPr>
      <w:ind w:left="1415" w:hanging="283"/>
      <w:contextualSpacing/>
    </w:pPr>
  </w:style>
  <w:style w:type="paragraph" w:styleId="ListBullet">
    <w:name w:val="List Bullet"/>
    <w:basedOn w:val="Normal"/>
    <w:uiPriority w:val="99"/>
    <w:semiHidden/>
    <w:rsid w:val="000141F7"/>
    <w:pPr>
      <w:numPr>
        <w:numId w:val="61"/>
      </w:numPr>
      <w:contextualSpacing/>
    </w:pPr>
  </w:style>
  <w:style w:type="paragraph" w:styleId="ListBullet2">
    <w:name w:val="List Bullet 2"/>
    <w:basedOn w:val="Normal"/>
    <w:uiPriority w:val="99"/>
    <w:semiHidden/>
    <w:rsid w:val="000141F7"/>
    <w:pPr>
      <w:numPr>
        <w:numId w:val="62"/>
      </w:numPr>
      <w:contextualSpacing/>
    </w:pPr>
  </w:style>
  <w:style w:type="paragraph" w:styleId="ListBullet3">
    <w:name w:val="List Bullet 3"/>
    <w:basedOn w:val="Normal"/>
    <w:uiPriority w:val="99"/>
    <w:semiHidden/>
    <w:rsid w:val="000141F7"/>
    <w:pPr>
      <w:numPr>
        <w:numId w:val="63"/>
      </w:numPr>
      <w:contextualSpacing/>
    </w:pPr>
  </w:style>
  <w:style w:type="paragraph" w:styleId="ListBullet4">
    <w:name w:val="List Bullet 4"/>
    <w:basedOn w:val="Normal"/>
    <w:uiPriority w:val="99"/>
    <w:semiHidden/>
    <w:rsid w:val="000141F7"/>
    <w:pPr>
      <w:numPr>
        <w:numId w:val="64"/>
      </w:numPr>
      <w:contextualSpacing/>
    </w:pPr>
  </w:style>
  <w:style w:type="paragraph" w:styleId="ListBullet5">
    <w:name w:val="List Bullet 5"/>
    <w:basedOn w:val="Normal"/>
    <w:uiPriority w:val="99"/>
    <w:semiHidden/>
    <w:rsid w:val="000141F7"/>
    <w:pPr>
      <w:numPr>
        <w:numId w:val="65"/>
      </w:numPr>
      <w:contextualSpacing/>
    </w:pPr>
  </w:style>
  <w:style w:type="paragraph" w:styleId="ListContinue">
    <w:name w:val="List Continue"/>
    <w:basedOn w:val="Normal"/>
    <w:uiPriority w:val="99"/>
    <w:semiHidden/>
    <w:rsid w:val="000141F7"/>
    <w:pPr>
      <w:spacing w:after="120"/>
      <w:ind w:left="283"/>
      <w:contextualSpacing/>
    </w:pPr>
  </w:style>
  <w:style w:type="paragraph" w:styleId="ListContinue2">
    <w:name w:val="List Continue 2"/>
    <w:basedOn w:val="Normal"/>
    <w:uiPriority w:val="99"/>
    <w:semiHidden/>
    <w:rsid w:val="000141F7"/>
    <w:pPr>
      <w:spacing w:after="120"/>
      <w:ind w:left="566"/>
      <w:contextualSpacing/>
    </w:pPr>
  </w:style>
  <w:style w:type="paragraph" w:styleId="ListContinue3">
    <w:name w:val="List Continue 3"/>
    <w:basedOn w:val="Normal"/>
    <w:uiPriority w:val="99"/>
    <w:semiHidden/>
    <w:rsid w:val="000141F7"/>
    <w:pPr>
      <w:spacing w:after="120"/>
      <w:ind w:left="849"/>
      <w:contextualSpacing/>
    </w:pPr>
  </w:style>
  <w:style w:type="paragraph" w:styleId="ListContinue4">
    <w:name w:val="List Continue 4"/>
    <w:basedOn w:val="Normal"/>
    <w:uiPriority w:val="99"/>
    <w:semiHidden/>
    <w:rsid w:val="000141F7"/>
    <w:pPr>
      <w:spacing w:after="120"/>
      <w:ind w:left="1132"/>
      <w:contextualSpacing/>
    </w:pPr>
  </w:style>
  <w:style w:type="paragraph" w:styleId="ListContinue5">
    <w:name w:val="List Continue 5"/>
    <w:basedOn w:val="Normal"/>
    <w:uiPriority w:val="99"/>
    <w:semiHidden/>
    <w:rsid w:val="000141F7"/>
    <w:pPr>
      <w:spacing w:after="120"/>
      <w:ind w:left="1415"/>
      <w:contextualSpacing/>
    </w:pPr>
  </w:style>
  <w:style w:type="paragraph" w:styleId="ListNumber">
    <w:name w:val="List Number"/>
    <w:basedOn w:val="Normal"/>
    <w:uiPriority w:val="99"/>
    <w:semiHidden/>
    <w:rsid w:val="000141F7"/>
    <w:pPr>
      <w:numPr>
        <w:numId w:val="66"/>
      </w:numPr>
      <w:contextualSpacing/>
    </w:pPr>
  </w:style>
  <w:style w:type="paragraph" w:styleId="ListNumber2">
    <w:name w:val="List Number 2"/>
    <w:basedOn w:val="Normal"/>
    <w:uiPriority w:val="99"/>
    <w:semiHidden/>
    <w:rsid w:val="000141F7"/>
    <w:pPr>
      <w:numPr>
        <w:numId w:val="67"/>
      </w:numPr>
      <w:contextualSpacing/>
    </w:pPr>
  </w:style>
  <w:style w:type="paragraph" w:styleId="ListNumber3">
    <w:name w:val="List Number 3"/>
    <w:basedOn w:val="Normal"/>
    <w:uiPriority w:val="99"/>
    <w:semiHidden/>
    <w:rsid w:val="000141F7"/>
    <w:pPr>
      <w:numPr>
        <w:numId w:val="68"/>
      </w:numPr>
      <w:contextualSpacing/>
    </w:pPr>
  </w:style>
  <w:style w:type="paragraph" w:styleId="ListNumber4">
    <w:name w:val="List Number 4"/>
    <w:basedOn w:val="Normal"/>
    <w:uiPriority w:val="99"/>
    <w:semiHidden/>
    <w:rsid w:val="000141F7"/>
    <w:pPr>
      <w:numPr>
        <w:numId w:val="69"/>
      </w:numPr>
      <w:contextualSpacing/>
    </w:pPr>
  </w:style>
  <w:style w:type="paragraph" w:styleId="ListNumber5">
    <w:name w:val="List Number 5"/>
    <w:basedOn w:val="Normal"/>
    <w:uiPriority w:val="99"/>
    <w:semiHidden/>
    <w:rsid w:val="000141F7"/>
    <w:pPr>
      <w:numPr>
        <w:numId w:val="70"/>
      </w:numPr>
      <w:contextualSpacing/>
    </w:pPr>
  </w:style>
  <w:style w:type="table" w:styleId="ListTable1Light">
    <w:name w:val="List Table 1 Light"/>
    <w:basedOn w:val="TableNormal"/>
    <w:uiPriority w:val="46"/>
    <w:rsid w:val="000141F7"/>
    <w:tblPr>
      <w:tblStyleRowBandSize w:val="1"/>
      <w:tblStyleColBandSize w:val="1"/>
    </w:tblPr>
    <w:tblStylePr w:type="firstRow">
      <w:rPr>
        <w:b/>
        <w:bCs/>
      </w:rPr>
      <w:tblPr/>
      <w:tcPr>
        <w:tcBorders>
          <w:bottom w:val="single" w:sz="4" w:space="0" w:color="828282" w:themeColor="text1" w:themeTint="99"/>
        </w:tcBorders>
      </w:tcPr>
    </w:tblStylePr>
    <w:tblStylePr w:type="lastRow">
      <w:rPr>
        <w:b/>
        <w:bCs/>
      </w:rPr>
      <w:tblPr/>
      <w:tcPr>
        <w:tcBorders>
          <w:top w:val="sing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1LightAccent1">
    <w:name w:val="List Table 1 Light Accent 1"/>
    <w:basedOn w:val="TableNormal"/>
    <w:uiPriority w:val="46"/>
    <w:rsid w:val="000141F7"/>
    <w:tblPr>
      <w:tblStyleRowBandSize w:val="1"/>
      <w:tblStyleColBandSize w:val="1"/>
    </w:tblPr>
    <w:tblStylePr w:type="firstRow">
      <w:rPr>
        <w:b/>
        <w:bCs/>
      </w:rPr>
      <w:tblPr/>
      <w:tcPr>
        <w:tcBorders>
          <w:bottom w:val="single" w:sz="4" w:space="0" w:color="B7EFD7" w:themeColor="accent1" w:themeTint="99"/>
        </w:tcBorders>
      </w:tcPr>
    </w:tblStylePr>
    <w:tblStylePr w:type="lastRow">
      <w:rPr>
        <w:b/>
        <w:bCs/>
      </w:rPr>
      <w:tblPr/>
      <w:tcPr>
        <w:tcBorders>
          <w:top w:val="single" w:sz="4" w:space="0" w:color="B7EFD7" w:themeColor="accent1" w:themeTint="99"/>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1LightAccent2">
    <w:name w:val="List Table 1 Light Accent 2"/>
    <w:basedOn w:val="TableNormal"/>
    <w:uiPriority w:val="46"/>
    <w:rsid w:val="000141F7"/>
    <w:tblPr>
      <w:tblStyleRowBandSize w:val="1"/>
      <w:tblStyleColBandSize w:val="1"/>
    </w:tblPr>
    <w:tblStylePr w:type="firstRow">
      <w:rPr>
        <w:b/>
        <w:bCs/>
      </w:rPr>
      <w:tblPr/>
      <w:tcPr>
        <w:tcBorders>
          <w:bottom w:val="single" w:sz="4" w:space="0" w:color="97DAEF" w:themeColor="accent2" w:themeTint="99"/>
        </w:tcBorders>
      </w:tcPr>
    </w:tblStylePr>
    <w:tblStylePr w:type="lastRow">
      <w:rPr>
        <w:b/>
        <w:bCs/>
      </w:rPr>
      <w:tblPr/>
      <w:tcPr>
        <w:tcBorders>
          <w:top w:val="single" w:sz="4" w:space="0" w:color="97DAEF" w:themeColor="accent2" w:themeTint="99"/>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1LightAccent3">
    <w:name w:val="List Table 1 Light Accent 3"/>
    <w:basedOn w:val="TableNormal"/>
    <w:uiPriority w:val="46"/>
    <w:rsid w:val="000141F7"/>
    <w:tblPr>
      <w:tblStyleRowBandSize w:val="1"/>
      <w:tblStyleColBandSize w:val="1"/>
    </w:tblPr>
    <w:tblStylePr w:type="firstRow">
      <w:rPr>
        <w:b/>
        <w:bCs/>
      </w:rPr>
      <w:tblPr/>
      <w:tcPr>
        <w:tcBorders>
          <w:bottom w:val="single" w:sz="4" w:space="0" w:color="B7BFF8" w:themeColor="accent3" w:themeTint="99"/>
        </w:tcBorders>
      </w:tcPr>
    </w:tblStylePr>
    <w:tblStylePr w:type="lastRow">
      <w:rPr>
        <w:b/>
        <w:bCs/>
      </w:rPr>
      <w:tblPr/>
      <w:tcPr>
        <w:tcBorders>
          <w:top w:val="single" w:sz="4" w:space="0" w:color="B7BFF8" w:themeColor="accent3" w:themeTint="99"/>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1LightAccent4">
    <w:name w:val="List Table 1 Light Accent 4"/>
    <w:basedOn w:val="TableNormal"/>
    <w:uiPriority w:val="46"/>
    <w:rsid w:val="000141F7"/>
    <w:tblPr>
      <w:tblStyleRowBandSize w:val="1"/>
      <w:tblStyleColBandSize w:val="1"/>
    </w:tblPr>
    <w:tblStylePr w:type="firstRow">
      <w:rPr>
        <w:b/>
        <w:bCs/>
      </w:rPr>
      <w:tblPr/>
      <w:tcPr>
        <w:tcBorders>
          <w:bottom w:val="single" w:sz="4" w:space="0" w:color="F2C8F2" w:themeColor="accent4" w:themeTint="99"/>
        </w:tcBorders>
      </w:tcPr>
    </w:tblStylePr>
    <w:tblStylePr w:type="lastRow">
      <w:rPr>
        <w:b/>
        <w:bCs/>
      </w:rPr>
      <w:tblPr/>
      <w:tcPr>
        <w:tcBorders>
          <w:top w:val="single" w:sz="4" w:space="0" w:color="F2C8F2" w:themeColor="accent4" w:themeTint="99"/>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1LightAccent5">
    <w:name w:val="List Table 1 Light Accent 5"/>
    <w:basedOn w:val="TableNormal"/>
    <w:uiPriority w:val="46"/>
    <w:rsid w:val="000141F7"/>
    <w:tblPr>
      <w:tblStyleRowBandSize w:val="1"/>
      <w:tblStyleColBandSize w:val="1"/>
    </w:tblPr>
    <w:tblStylePr w:type="firstRow">
      <w:rPr>
        <w:b/>
        <w:bCs/>
      </w:rPr>
      <w:tblPr/>
      <w:tcPr>
        <w:tcBorders>
          <w:bottom w:val="single" w:sz="4" w:space="0" w:color="FDBFC3" w:themeColor="accent5" w:themeTint="99"/>
        </w:tcBorders>
      </w:tcPr>
    </w:tblStylePr>
    <w:tblStylePr w:type="lastRow">
      <w:rPr>
        <w:b/>
        <w:bCs/>
      </w:rPr>
      <w:tblPr/>
      <w:tcPr>
        <w:tcBorders>
          <w:top w:val="single" w:sz="4" w:space="0" w:color="FDBFC3" w:themeColor="accent5" w:themeTint="99"/>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1LightAccent6">
    <w:name w:val="List Table 1 Light Accent 6"/>
    <w:basedOn w:val="TableNormal"/>
    <w:uiPriority w:val="46"/>
    <w:rsid w:val="000141F7"/>
    <w:tblPr>
      <w:tblStyleRowBandSize w:val="1"/>
      <w:tblStyleColBandSize w:val="1"/>
    </w:tblPr>
    <w:tblStylePr w:type="firstRow">
      <w:rPr>
        <w:b/>
        <w:bCs/>
      </w:rPr>
      <w:tblPr/>
      <w:tcPr>
        <w:tcBorders>
          <w:bottom w:val="single" w:sz="4" w:space="0" w:color="D3F5E6" w:themeColor="accent6" w:themeTint="99"/>
        </w:tcBorders>
      </w:tcPr>
    </w:tblStylePr>
    <w:tblStylePr w:type="lastRow">
      <w:rPr>
        <w:b/>
        <w:bCs/>
      </w:rPr>
      <w:tblPr/>
      <w:tcPr>
        <w:tcBorders>
          <w:top w:val="single" w:sz="4" w:space="0" w:color="D3F5E6" w:themeColor="accent6" w:themeTint="99"/>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2">
    <w:name w:val="List Table 2"/>
    <w:basedOn w:val="TableNormal"/>
    <w:uiPriority w:val="47"/>
    <w:rsid w:val="000141F7"/>
    <w:tblPr>
      <w:tblStyleRowBandSize w:val="1"/>
      <w:tblStyleColBandSize w:val="1"/>
      <w:tblBorders>
        <w:top w:val="single" w:sz="4" w:space="0" w:color="828282" w:themeColor="text1" w:themeTint="99"/>
        <w:bottom w:val="single" w:sz="4" w:space="0" w:color="828282" w:themeColor="text1" w:themeTint="99"/>
        <w:insideH w:val="single" w:sz="4" w:space="0" w:color="82828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2Accent1">
    <w:name w:val="List Table 2 Accent 1"/>
    <w:basedOn w:val="TableNormal"/>
    <w:uiPriority w:val="47"/>
    <w:rsid w:val="000141F7"/>
    <w:tblPr>
      <w:tblStyleRowBandSize w:val="1"/>
      <w:tblStyleColBandSize w:val="1"/>
      <w:tblBorders>
        <w:top w:val="single" w:sz="4" w:space="0" w:color="B7EFD7" w:themeColor="accent1" w:themeTint="99"/>
        <w:bottom w:val="single" w:sz="4" w:space="0" w:color="B7EFD7" w:themeColor="accent1" w:themeTint="99"/>
        <w:insideH w:val="single" w:sz="4" w:space="0" w:color="B7EF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2Accent2">
    <w:name w:val="List Table 2 Accent 2"/>
    <w:basedOn w:val="TableNormal"/>
    <w:uiPriority w:val="47"/>
    <w:rsid w:val="000141F7"/>
    <w:tblPr>
      <w:tblStyleRowBandSize w:val="1"/>
      <w:tblStyleColBandSize w:val="1"/>
      <w:tblBorders>
        <w:top w:val="single" w:sz="4" w:space="0" w:color="97DAEF" w:themeColor="accent2" w:themeTint="99"/>
        <w:bottom w:val="single" w:sz="4" w:space="0" w:color="97DAEF" w:themeColor="accent2" w:themeTint="99"/>
        <w:insideH w:val="single" w:sz="4" w:space="0" w:color="97DAE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2Accent3">
    <w:name w:val="List Table 2 Accent 3"/>
    <w:basedOn w:val="TableNormal"/>
    <w:uiPriority w:val="47"/>
    <w:rsid w:val="000141F7"/>
    <w:tblPr>
      <w:tblStyleRowBandSize w:val="1"/>
      <w:tblStyleColBandSize w:val="1"/>
      <w:tblBorders>
        <w:top w:val="single" w:sz="4" w:space="0" w:color="B7BFF8" w:themeColor="accent3" w:themeTint="99"/>
        <w:bottom w:val="single" w:sz="4" w:space="0" w:color="B7BFF8" w:themeColor="accent3" w:themeTint="99"/>
        <w:insideH w:val="single" w:sz="4" w:space="0" w:color="B7BF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2Accent4">
    <w:name w:val="List Table 2 Accent 4"/>
    <w:basedOn w:val="TableNormal"/>
    <w:uiPriority w:val="47"/>
    <w:rsid w:val="000141F7"/>
    <w:tblPr>
      <w:tblStyleRowBandSize w:val="1"/>
      <w:tblStyleColBandSize w:val="1"/>
      <w:tblBorders>
        <w:top w:val="single" w:sz="4" w:space="0" w:color="F2C8F2" w:themeColor="accent4" w:themeTint="99"/>
        <w:bottom w:val="single" w:sz="4" w:space="0" w:color="F2C8F2" w:themeColor="accent4" w:themeTint="99"/>
        <w:insideH w:val="single" w:sz="4" w:space="0" w:color="F2C8F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2Accent5">
    <w:name w:val="List Table 2 Accent 5"/>
    <w:basedOn w:val="TableNormal"/>
    <w:uiPriority w:val="47"/>
    <w:rsid w:val="000141F7"/>
    <w:tblPr>
      <w:tblStyleRowBandSize w:val="1"/>
      <w:tblStyleColBandSize w:val="1"/>
      <w:tblBorders>
        <w:top w:val="single" w:sz="4" w:space="0" w:color="FDBFC3" w:themeColor="accent5" w:themeTint="99"/>
        <w:bottom w:val="single" w:sz="4" w:space="0" w:color="FDBFC3" w:themeColor="accent5" w:themeTint="99"/>
        <w:insideH w:val="single" w:sz="4" w:space="0" w:color="FDBFC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2Accent6">
    <w:name w:val="List Table 2 Accent 6"/>
    <w:basedOn w:val="TableNormal"/>
    <w:uiPriority w:val="47"/>
    <w:rsid w:val="000141F7"/>
    <w:tblPr>
      <w:tblStyleRowBandSize w:val="1"/>
      <w:tblStyleColBandSize w:val="1"/>
      <w:tblBorders>
        <w:top w:val="single" w:sz="4" w:space="0" w:color="D3F5E6" w:themeColor="accent6" w:themeTint="99"/>
        <w:bottom w:val="single" w:sz="4" w:space="0" w:color="D3F5E6" w:themeColor="accent6" w:themeTint="99"/>
        <w:insideH w:val="single" w:sz="4" w:space="0" w:color="D3F5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3">
    <w:name w:val="List Table 3"/>
    <w:basedOn w:val="TableNormal"/>
    <w:uiPriority w:val="48"/>
    <w:rsid w:val="000141F7"/>
    <w:tblPr>
      <w:tblStyleRowBandSize w:val="1"/>
      <w:tblStyleColBandSize w:val="1"/>
      <w:tblBorders>
        <w:top w:val="single" w:sz="4" w:space="0" w:color="303030" w:themeColor="text1"/>
        <w:left w:val="single" w:sz="4" w:space="0" w:color="303030" w:themeColor="text1"/>
        <w:bottom w:val="single" w:sz="4" w:space="0" w:color="303030" w:themeColor="text1"/>
        <w:right w:val="single" w:sz="4" w:space="0" w:color="303030" w:themeColor="text1"/>
      </w:tblBorders>
    </w:tblPr>
    <w:tblStylePr w:type="firstRow">
      <w:rPr>
        <w:b/>
        <w:bCs/>
        <w:color w:val="FFFFFF" w:themeColor="background1"/>
      </w:rPr>
      <w:tblPr/>
      <w:tcPr>
        <w:shd w:val="clear" w:color="auto" w:fill="303030" w:themeFill="text1"/>
      </w:tcPr>
    </w:tblStylePr>
    <w:tblStylePr w:type="lastRow">
      <w:rPr>
        <w:b/>
        <w:bCs/>
      </w:rPr>
      <w:tblPr/>
      <w:tcPr>
        <w:tcBorders>
          <w:top w:val="double" w:sz="4" w:space="0" w:color="30303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3030" w:themeColor="text1"/>
          <w:right w:val="single" w:sz="4" w:space="0" w:color="303030" w:themeColor="text1"/>
        </w:tcBorders>
      </w:tcPr>
    </w:tblStylePr>
    <w:tblStylePr w:type="band1Horz">
      <w:tblPr/>
      <w:tcPr>
        <w:tcBorders>
          <w:top w:val="single" w:sz="4" w:space="0" w:color="303030" w:themeColor="text1"/>
          <w:bottom w:val="single" w:sz="4" w:space="0" w:color="30303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3030" w:themeColor="text1"/>
          <w:left w:val="nil"/>
        </w:tcBorders>
      </w:tcPr>
    </w:tblStylePr>
    <w:tblStylePr w:type="swCell">
      <w:tblPr/>
      <w:tcPr>
        <w:tcBorders>
          <w:top w:val="double" w:sz="4" w:space="0" w:color="303030" w:themeColor="text1"/>
          <w:right w:val="nil"/>
        </w:tcBorders>
      </w:tcPr>
    </w:tblStylePr>
  </w:style>
  <w:style w:type="table" w:styleId="ListTable3Accent1">
    <w:name w:val="List Table 3 Accent 1"/>
    <w:basedOn w:val="TableNormal"/>
    <w:uiPriority w:val="48"/>
    <w:rsid w:val="000141F7"/>
    <w:tblPr>
      <w:tblStyleRowBandSize w:val="1"/>
      <w:tblStyleColBandSize w:val="1"/>
      <w:tblBorders>
        <w:top w:val="single" w:sz="4" w:space="0" w:color="88E5BD" w:themeColor="accent1"/>
        <w:left w:val="single" w:sz="4" w:space="0" w:color="88E5BD" w:themeColor="accent1"/>
        <w:bottom w:val="single" w:sz="4" w:space="0" w:color="88E5BD" w:themeColor="accent1"/>
        <w:right w:val="single" w:sz="4" w:space="0" w:color="88E5BD" w:themeColor="accent1"/>
      </w:tblBorders>
    </w:tblPr>
    <w:tblStylePr w:type="firstRow">
      <w:rPr>
        <w:b/>
        <w:bCs/>
        <w:color w:val="FFFFFF" w:themeColor="background1"/>
      </w:rPr>
      <w:tblPr/>
      <w:tcPr>
        <w:shd w:val="clear" w:color="auto" w:fill="88E5BD" w:themeFill="accent1"/>
      </w:tcPr>
    </w:tblStylePr>
    <w:tblStylePr w:type="lastRow">
      <w:rPr>
        <w:b/>
        <w:bCs/>
      </w:rPr>
      <w:tblPr/>
      <w:tcPr>
        <w:tcBorders>
          <w:top w:val="double" w:sz="4" w:space="0" w:color="88E5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E5BD" w:themeColor="accent1"/>
          <w:right w:val="single" w:sz="4" w:space="0" w:color="88E5BD" w:themeColor="accent1"/>
        </w:tcBorders>
      </w:tcPr>
    </w:tblStylePr>
    <w:tblStylePr w:type="band1Horz">
      <w:tblPr/>
      <w:tcPr>
        <w:tcBorders>
          <w:top w:val="single" w:sz="4" w:space="0" w:color="88E5BD" w:themeColor="accent1"/>
          <w:bottom w:val="single" w:sz="4" w:space="0" w:color="88E5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E5BD" w:themeColor="accent1"/>
          <w:left w:val="nil"/>
        </w:tcBorders>
      </w:tcPr>
    </w:tblStylePr>
    <w:tblStylePr w:type="swCell">
      <w:tblPr/>
      <w:tcPr>
        <w:tcBorders>
          <w:top w:val="double" w:sz="4" w:space="0" w:color="88E5BD" w:themeColor="accent1"/>
          <w:right w:val="nil"/>
        </w:tcBorders>
      </w:tcPr>
    </w:tblStylePr>
  </w:style>
  <w:style w:type="table" w:styleId="ListTable3Accent2">
    <w:name w:val="List Table 3 Accent 2"/>
    <w:basedOn w:val="TableNormal"/>
    <w:uiPriority w:val="48"/>
    <w:rsid w:val="000141F7"/>
    <w:tblPr>
      <w:tblStyleRowBandSize w:val="1"/>
      <w:tblStyleColBandSize w:val="1"/>
      <w:tblBorders>
        <w:top w:val="single" w:sz="4" w:space="0" w:color="53C2E5" w:themeColor="accent2"/>
        <w:left w:val="single" w:sz="4" w:space="0" w:color="53C2E5" w:themeColor="accent2"/>
        <w:bottom w:val="single" w:sz="4" w:space="0" w:color="53C2E5" w:themeColor="accent2"/>
        <w:right w:val="single" w:sz="4" w:space="0" w:color="53C2E5" w:themeColor="accent2"/>
      </w:tblBorders>
    </w:tblPr>
    <w:tblStylePr w:type="firstRow">
      <w:rPr>
        <w:b/>
        <w:bCs/>
        <w:color w:val="FFFFFF" w:themeColor="background1"/>
      </w:rPr>
      <w:tblPr/>
      <w:tcPr>
        <w:shd w:val="clear" w:color="auto" w:fill="53C2E5" w:themeFill="accent2"/>
      </w:tcPr>
    </w:tblStylePr>
    <w:tblStylePr w:type="lastRow">
      <w:rPr>
        <w:b/>
        <w:bCs/>
      </w:rPr>
      <w:tblPr/>
      <w:tcPr>
        <w:tcBorders>
          <w:top w:val="double" w:sz="4" w:space="0" w:color="53C2E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C2E5" w:themeColor="accent2"/>
          <w:right w:val="single" w:sz="4" w:space="0" w:color="53C2E5" w:themeColor="accent2"/>
        </w:tcBorders>
      </w:tcPr>
    </w:tblStylePr>
    <w:tblStylePr w:type="band1Horz">
      <w:tblPr/>
      <w:tcPr>
        <w:tcBorders>
          <w:top w:val="single" w:sz="4" w:space="0" w:color="53C2E5" w:themeColor="accent2"/>
          <w:bottom w:val="single" w:sz="4" w:space="0" w:color="53C2E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C2E5" w:themeColor="accent2"/>
          <w:left w:val="nil"/>
        </w:tcBorders>
      </w:tcPr>
    </w:tblStylePr>
    <w:tblStylePr w:type="swCell">
      <w:tblPr/>
      <w:tcPr>
        <w:tcBorders>
          <w:top w:val="double" w:sz="4" w:space="0" w:color="53C2E5" w:themeColor="accent2"/>
          <w:right w:val="nil"/>
        </w:tcBorders>
      </w:tcPr>
    </w:tblStylePr>
  </w:style>
  <w:style w:type="table" w:styleId="ListTable3Accent3">
    <w:name w:val="List Table 3 Accent 3"/>
    <w:basedOn w:val="TableNormal"/>
    <w:uiPriority w:val="48"/>
    <w:rsid w:val="000141F7"/>
    <w:tblPr>
      <w:tblStyleRowBandSize w:val="1"/>
      <w:tblStyleColBandSize w:val="1"/>
      <w:tblBorders>
        <w:top w:val="single" w:sz="4" w:space="0" w:color="8996F4" w:themeColor="accent3"/>
        <w:left w:val="single" w:sz="4" w:space="0" w:color="8996F4" w:themeColor="accent3"/>
        <w:bottom w:val="single" w:sz="4" w:space="0" w:color="8996F4" w:themeColor="accent3"/>
        <w:right w:val="single" w:sz="4" w:space="0" w:color="8996F4" w:themeColor="accent3"/>
      </w:tblBorders>
    </w:tblPr>
    <w:tblStylePr w:type="firstRow">
      <w:rPr>
        <w:b/>
        <w:bCs/>
        <w:color w:val="FFFFFF" w:themeColor="background1"/>
      </w:rPr>
      <w:tblPr/>
      <w:tcPr>
        <w:shd w:val="clear" w:color="auto" w:fill="8996F4" w:themeFill="accent3"/>
      </w:tcPr>
    </w:tblStylePr>
    <w:tblStylePr w:type="lastRow">
      <w:rPr>
        <w:b/>
        <w:bCs/>
      </w:rPr>
      <w:tblPr/>
      <w:tcPr>
        <w:tcBorders>
          <w:top w:val="double" w:sz="4" w:space="0" w:color="8996F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96F4" w:themeColor="accent3"/>
          <w:right w:val="single" w:sz="4" w:space="0" w:color="8996F4" w:themeColor="accent3"/>
        </w:tcBorders>
      </w:tcPr>
    </w:tblStylePr>
    <w:tblStylePr w:type="band1Horz">
      <w:tblPr/>
      <w:tcPr>
        <w:tcBorders>
          <w:top w:val="single" w:sz="4" w:space="0" w:color="8996F4" w:themeColor="accent3"/>
          <w:bottom w:val="single" w:sz="4" w:space="0" w:color="8996F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96F4" w:themeColor="accent3"/>
          <w:left w:val="nil"/>
        </w:tcBorders>
      </w:tcPr>
    </w:tblStylePr>
    <w:tblStylePr w:type="swCell">
      <w:tblPr/>
      <w:tcPr>
        <w:tcBorders>
          <w:top w:val="double" w:sz="4" w:space="0" w:color="8996F4" w:themeColor="accent3"/>
          <w:right w:val="nil"/>
        </w:tcBorders>
      </w:tcPr>
    </w:tblStylePr>
  </w:style>
  <w:style w:type="table" w:styleId="ListTable3Accent4">
    <w:name w:val="List Table 3 Accent 4"/>
    <w:basedOn w:val="TableNormal"/>
    <w:uiPriority w:val="48"/>
    <w:rsid w:val="000141F7"/>
    <w:tblPr>
      <w:tblStyleRowBandSize w:val="1"/>
      <w:tblStyleColBandSize w:val="1"/>
      <w:tblBorders>
        <w:top w:val="single" w:sz="4" w:space="0" w:color="EAA4EA" w:themeColor="accent4"/>
        <w:left w:val="single" w:sz="4" w:space="0" w:color="EAA4EA" w:themeColor="accent4"/>
        <w:bottom w:val="single" w:sz="4" w:space="0" w:color="EAA4EA" w:themeColor="accent4"/>
        <w:right w:val="single" w:sz="4" w:space="0" w:color="EAA4EA" w:themeColor="accent4"/>
      </w:tblBorders>
    </w:tblPr>
    <w:tblStylePr w:type="firstRow">
      <w:rPr>
        <w:b/>
        <w:bCs/>
        <w:color w:val="FFFFFF" w:themeColor="background1"/>
      </w:rPr>
      <w:tblPr/>
      <w:tcPr>
        <w:shd w:val="clear" w:color="auto" w:fill="EAA4EA" w:themeFill="accent4"/>
      </w:tcPr>
    </w:tblStylePr>
    <w:tblStylePr w:type="lastRow">
      <w:rPr>
        <w:b/>
        <w:bCs/>
      </w:rPr>
      <w:tblPr/>
      <w:tcPr>
        <w:tcBorders>
          <w:top w:val="double" w:sz="4" w:space="0" w:color="EAA4E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A4EA" w:themeColor="accent4"/>
          <w:right w:val="single" w:sz="4" w:space="0" w:color="EAA4EA" w:themeColor="accent4"/>
        </w:tcBorders>
      </w:tcPr>
    </w:tblStylePr>
    <w:tblStylePr w:type="band1Horz">
      <w:tblPr/>
      <w:tcPr>
        <w:tcBorders>
          <w:top w:val="single" w:sz="4" w:space="0" w:color="EAA4EA" w:themeColor="accent4"/>
          <w:bottom w:val="single" w:sz="4" w:space="0" w:color="EAA4E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A4EA" w:themeColor="accent4"/>
          <w:left w:val="nil"/>
        </w:tcBorders>
      </w:tcPr>
    </w:tblStylePr>
    <w:tblStylePr w:type="swCell">
      <w:tblPr/>
      <w:tcPr>
        <w:tcBorders>
          <w:top w:val="double" w:sz="4" w:space="0" w:color="EAA4EA" w:themeColor="accent4"/>
          <w:right w:val="nil"/>
        </w:tcBorders>
      </w:tcPr>
    </w:tblStylePr>
  </w:style>
  <w:style w:type="table" w:styleId="ListTable3Accent5">
    <w:name w:val="List Table 3 Accent 5"/>
    <w:basedOn w:val="TableNormal"/>
    <w:uiPriority w:val="48"/>
    <w:rsid w:val="000141F7"/>
    <w:tblPr>
      <w:tblStyleRowBandSize w:val="1"/>
      <w:tblStyleColBandSize w:val="1"/>
      <w:tblBorders>
        <w:top w:val="single" w:sz="4" w:space="0" w:color="FD969C" w:themeColor="accent5"/>
        <w:left w:val="single" w:sz="4" w:space="0" w:color="FD969C" w:themeColor="accent5"/>
        <w:bottom w:val="single" w:sz="4" w:space="0" w:color="FD969C" w:themeColor="accent5"/>
        <w:right w:val="single" w:sz="4" w:space="0" w:color="FD969C" w:themeColor="accent5"/>
      </w:tblBorders>
    </w:tblPr>
    <w:tblStylePr w:type="firstRow">
      <w:rPr>
        <w:b/>
        <w:bCs/>
        <w:color w:val="FFFFFF" w:themeColor="background1"/>
      </w:rPr>
      <w:tblPr/>
      <w:tcPr>
        <w:shd w:val="clear" w:color="auto" w:fill="FD969C" w:themeFill="accent5"/>
      </w:tcPr>
    </w:tblStylePr>
    <w:tblStylePr w:type="lastRow">
      <w:rPr>
        <w:b/>
        <w:bCs/>
      </w:rPr>
      <w:tblPr/>
      <w:tcPr>
        <w:tcBorders>
          <w:top w:val="double" w:sz="4" w:space="0" w:color="FD969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969C" w:themeColor="accent5"/>
          <w:right w:val="single" w:sz="4" w:space="0" w:color="FD969C" w:themeColor="accent5"/>
        </w:tcBorders>
      </w:tcPr>
    </w:tblStylePr>
    <w:tblStylePr w:type="band1Horz">
      <w:tblPr/>
      <w:tcPr>
        <w:tcBorders>
          <w:top w:val="single" w:sz="4" w:space="0" w:color="FD969C" w:themeColor="accent5"/>
          <w:bottom w:val="single" w:sz="4" w:space="0" w:color="FD969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969C" w:themeColor="accent5"/>
          <w:left w:val="nil"/>
        </w:tcBorders>
      </w:tcPr>
    </w:tblStylePr>
    <w:tblStylePr w:type="swCell">
      <w:tblPr/>
      <w:tcPr>
        <w:tcBorders>
          <w:top w:val="double" w:sz="4" w:space="0" w:color="FD969C" w:themeColor="accent5"/>
          <w:right w:val="nil"/>
        </w:tcBorders>
      </w:tcPr>
    </w:tblStylePr>
  </w:style>
  <w:style w:type="table" w:styleId="ListTable3Accent6">
    <w:name w:val="List Table 3 Accent 6"/>
    <w:basedOn w:val="TableNormal"/>
    <w:uiPriority w:val="48"/>
    <w:rsid w:val="000141F7"/>
    <w:tblPr>
      <w:tblStyleRowBandSize w:val="1"/>
      <w:tblStyleColBandSize w:val="1"/>
      <w:tblBorders>
        <w:top w:val="single" w:sz="4" w:space="0" w:color="B7EFD7" w:themeColor="accent6"/>
        <w:left w:val="single" w:sz="4" w:space="0" w:color="B7EFD7" w:themeColor="accent6"/>
        <w:bottom w:val="single" w:sz="4" w:space="0" w:color="B7EFD7" w:themeColor="accent6"/>
        <w:right w:val="single" w:sz="4" w:space="0" w:color="B7EFD7" w:themeColor="accent6"/>
      </w:tblBorders>
    </w:tblPr>
    <w:tblStylePr w:type="firstRow">
      <w:rPr>
        <w:b/>
        <w:bCs/>
        <w:color w:val="FFFFFF" w:themeColor="background1"/>
      </w:rPr>
      <w:tblPr/>
      <w:tcPr>
        <w:shd w:val="clear" w:color="auto" w:fill="B7EFD7" w:themeFill="accent6"/>
      </w:tcPr>
    </w:tblStylePr>
    <w:tblStylePr w:type="lastRow">
      <w:rPr>
        <w:b/>
        <w:bCs/>
      </w:rPr>
      <w:tblPr/>
      <w:tcPr>
        <w:tcBorders>
          <w:top w:val="double" w:sz="4" w:space="0" w:color="B7EF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EFD7" w:themeColor="accent6"/>
          <w:right w:val="single" w:sz="4" w:space="0" w:color="B7EFD7" w:themeColor="accent6"/>
        </w:tcBorders>
      </w:tcPr>
    </w:tblStylePr>
    <w:tblStylePr w:type="band1Horz">
      <w:tblPr/>
      <w:tcPr>
        <w:tcBorders>
          <w:top w:val="single" w:sz="4" w:space="0" w:color="B7EFD7" w:themeColor="accent6"/>
          <w:bottom w:val="single" w:sz="4" w:space="0" w:color="B7EF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EFD7" w:themeColor="accent6"/>
          <w:left w:val="nil"/>
        </w:tcBorders>
      </w:tcPr>
    </w:tblStylePr>
    <w:tblStylePr w:type="swCell">
      <w:tblPr/>
      <w:tcPr>
        <w:tcBorders>
          <w:top w:val="double" w:sz="4" w:space="0" w:color="B7EFD7" w:themeColor="accent6"/>
          <w:right w:val="nil"/>
        </w:tcBorders>
      </w:tcPr>
    </w:tblStylePr>
  </w:style>
  <w:style w:type="table" w:styleId="ListTable4">
    <w:name w:val="List Table 4"/>
    <w:basedOn w:val="TableNormal"/>
    <w:uiPriority w:val="49"/>
    <w:rsid w:val="000141F7"/>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tcBorders>
        <w:shd w:val="clear" w:color="auto" w:fill="303030" w:themeFill="text1"/>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4Accent1">
    <w:name w:val="List Table 4 Accent 1"/>
    <w:basedOn w:val="TableNormal"/>
    <w:uiPriority w:val="49"/>
    <w:rsid w:val="000141F7"/>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tblBorders>
    </w:tblPr>
    <w:tblStylePr w:type="firstRow">
      <w:rPr>
        <w:b/>
        <w:bCs/>
        <w:color w:val="FFFFFF" w:themeColor="background1"/>
      </w:rPr>
      <w:tblPr/>
      <w:tcPr>
        <w:tcBorders>
          <w:top w:val="single" w:sz="4" w:space="0" w:color="88E5BD" w:themeColor="accent1"/>
          <w:left w:val="single" w:sz="4" w:space="0" w:color="88E5BD" w:themeColor="accent1"/>
          <w:bottom w:val="single" w:sz="4" w:space="0" w:color="88E5BD" w:themeColor="accent1"/>
          <w:right w:val="single" w:sz="4" w:space="0" w:color="88E5BD" w:themeColor="accent1"/>
          <w:insideH w:val="nil"/>
        </w:tcBorders>
        <w:shd w:val="clear" w:color="auto" w:fill="88E5BD" w:themeFill="accent1"/>
      </w:tcPr>
    </w:tblStylePr>
    <w:tblStylePr w:type="lastRow">
      <w:rPr>
        <w:b/>
        <w:bCs/>
      </w:rPr>
      <w:tblPr/>
      <w:tcPr>
        <w:tcBorders>
          <w:top w:val="double" w:sz="4" w:space="0" w:color="B7EFD7" w:themeColor="accent1" w:themeTint="99"/>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4Accent2">
    <w:name w:val="List Table 4 Accent 2"/>
    <w:basedOn w:val="TableNormal"/>
    <w:uiPriority w:val="49"/>
    <w:rsid w:val="000141F7"/>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tblBorders>
    </w:tblPr>
    <w:tblStylePr w:type="firstRow">
      <w:rPr>
        <w:b/>
        <w:bCs/>
        <w:color w:val="FFFFFF" w:themeColor="background1"/>
      </w:rPr>
      <w:tblPr/>
      <w:tcPr>
        <w:tcBorders>
          <w:top w:val="single" w:sz="4" w:space="0" w:color="53C2E5" w:themeColor="accent2"/>
          <w:left w:val="single" w:sz="4" w:space="0" w:color="53C2E5" w:themeColor="accent2"/>
          <w:bottom w:val="single" w:sz="4" w:space="0" w:color="53C2E5" w:themeColor="accent2"/>
          <w:right w:val="single" w:sz="4" w:space="0" w:color="53C2E5" w:themeColor="accent2"/>
          <w:insideH w:val="nil"/>
        </w:tcBorders>
        <w:shd w:val="clear" w:color="auto" w:fill="53C2E5" w:themeFill="accent2"/>
      </w:tcPr>
    </w:tblStylePr>
    <w:tblStylePr w:type="lastRow">
      <w:rPr>
        <w:b/>
        <w:bCs/>
      </w:rPr>
      <w:tblPr/>
      <w:tcPr>
        <w:tcBorders>
          <w:top w:val="double" w:sz="4" w:space="0" w:color="97DAEF" w:themeColor="accent2" w:themeTint="99"/>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4Accent3">
    <w:name w:val="List Table 4 Accent 3"/>
    <w:basedOn w:val="TableNormal"/>
    <w:uiPriority w:val="49"/>
    <w:rsid w:val="000141F7"/>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tblBorders>
    </w:tblPr>
    <w:tblStylePr w:type="firstRow">
      <w:rPr>
        <w:b/>
        <w:bCs/>
        <w:color w:val="FFFFFF" w:themeColor="background1"/>
      </w:rPr>
      <w:tblPr/>
      <w:tcPr>
        <w:tcBorders>
          <w:top w:val="single" w:sz="4" w:space="0" w:color="8996F4" w:themeColor="accent3"/>
          <w:left w:val="single" w:sz="4" w:space="0" w:color="8996F4" w:themeColor="accent3"/>
          <w:bottom w:val="single" w:sz="4" w:space="0" w:color="8996F4" w:themeColor="accent3"/>
          <w:right w:val="single" w:sz="4" w:space="0" w:color="8996F4" w:themeColor="accent3"/>
          <w:insideH w:val="nil"/>
        </w:tcBorders>
        <w:shd w:val="clear" w:color="auto" w:fill="8996F4" w:themeFill="accent3"/>
      </w:tcPr>
    </w:tblStylePr>
    <w:tblStylePr w:type="lastRow">
      <w:rPr>
        <w:b/>
        <w:bCs/>
      </w:rPr>
      <w:tblPr/>
      <w:tcPr>
        <w:tcBorders>
          <w:top w:val="double" w:sz="4" w:space="0" w:color="B7BFF8" w:themeColor="accent3" w:themeTint="99"/>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4Accent4">
    <w:name w:val="List Table 4 Accent 4"/>
    <w:basedOn w:val="TableNormal"/>
    <w:uiPriority w:val="49"/>
    <w:rsid w:val="000141F7"/>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tblBorders>
    </w:tblPr>
    <w:tblStylePr w:type="firstRow">
      <w:rPr>
        <w:b/>
        <w:bCs/>
        <w:color w:val="FFFFFF" w:themeColor="background1"/>
      </w:rPr>
      <w:tblPr/>
      <w:tcPr>
        <w:tcBorders>
          <w:top w:val="single" w:sz="4" w:space="0" w:color="EAA4EA" w:themeColor="accent4"/>
          <w:left w:val="single" w:sz="4" w:space="0" w:color="EAA4EA" w:themeColor="accent4"/>
          <w:bottom w:val="single" w:sz="4" w:space="0" w:color="EAA4EA" w:themeColor="accent4"/>
          <w:right w:val="single" w:sz="4" w:space="0" w:color="EAA4EA" w:themeColor="accent4"/>
          <w:insideH w:val="nil"/>
        </w:tcBorders>
        <w:shd w:val="clear" w:color="auto" w:fill="EAA4EA" w:themeFill="accent4"/>
      </w:tcPr>
    </w:tblStylePr>
    <w:tblStylePr w:type="lastRow">
      <w:rPr>
        <w:b/>
        <w:bCs/>
      </w:rPr>
      <w:tblPr/>
      <w:tcPr>
        <w:tcBorders>
          <w:top w:val="double" w:sz="4" w:space="0" w:color="F2C8F2" w:themeColor="accent4" w:themeTint="99"/>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4Accent5">
    <w:name w:val="List Table 4 Accent 5"/>
    <w:basedOn w:val="TableNormal"/>
    <w:uiPriority w:val="49"/>
    <w:rsid w:val="000141F7"/>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tblBorders>
    </w:tblPr>
    <w:tblStylePr w:type="firstRow">
      <w:rPr>
        <w:b/>
        <w:bCs/>
        <w:color w:val="FFFFFF" w:themeColor="background1"/>
      </w:rPr>
      <w:tblPr/>
      <w:tcPr>
        <w:tcBorders>
          <w:top w:val="single" w:sz="4" w:space="0" w:color="FD969C" w:themeColor="accent5"/>
          <w:left w:val="single" w:sz="4" w:space="0" w:color="FD969C" w:themeColor="accent5"/>
          <w:bottom w:val="single" w:sz="4" w:space="0" w:color="FD969C" w:themeColor="accent5"/>
          <w:right w:val="single" w:sz="4" w:space="0" w:color="FD969C" w:themeColor="accent5"/>
          <w:insideH w:val="nil"/>
        </w:tcBorders>
        <w:shd w:val="clear" w:color="auto" w:fill="FD969C" w:themeFill="accent5"/>
      </w:tcPr>
    </w:tblStylePr>
    <w:tblStylePr w:type="lastRow">
      <w:rPr>
        <w:b/>
        <w:bCs/>
      </w:rPr>
      <w:tblPr/>
      <w:tcPr>
        <w:tcBorders>
          <w:top w:val="double" w:sz="4" w:space="0" w:color="FDBFC3" w:themeColor="accent5" w:themeTint="99"/>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4Accent6">
    <w:name w:val="List Table 4 Accent 6"/>
    <w:basedOn w:val="TableNormal"/>
    <w:uiPriority w:val="49"/>
    <w:rsid w:val="000141F7"/>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tblBorders>
    </w:tblPr>
    <w:tblStylePr w:type="firstRow">
      <w:rPr>
        <w:b/>
        <w:bCs/>
        <w:color w:val="FFFFFF" w:themeColor="background1"/>
      </w:rPr>
      <w:tblPr/>
      <w:tcPr>
        <w:tcBorders>
          <w:top w:val="single" w:sz="4" w:space="0" w:color="B7EFD7" w:themeColor="accent6"/>
          <w:left w:val="single" w:sz="4" w:space="0" w:color="B7EFD7" w:themeColor="accent6"/>
          <w:bottom w:val="single" w:sz="4" w:space="0" w:color="B7EFD7" w:themeColor="accent6"/>
          <w:right w:val="single" w:sz="4" w:space="0" w:color="B7EFD7" w:themeColor="accent6"/>
          <w:insideH w:val="nil"/>
        </w:tcBorders>
        <w:shd w:val="clear" w:color="auto" w:fill="B7EFD7" w:themeFill="accent6"/>
      </w:tcPr>
    </w:tblStylePr>
    <w:tblStylePr w:type="lastRow">
      <w:rPr>
        <w:b/>
        <w:bCs/>
      </w:rPr>
      <w:tblPr/>
      <w:tcPr>
        <w:tcBorders>
          <w:top w:val="double" w:sz="4" w:space="0" w:color="D3F5E6" w:themeColor="accent6" w:themeTint="99"/>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5Dark">
    <w:name w:val="List Table 5 Dark"/>
    <w:basedOn w:val="TableNormal"/>
    <w:uiPriority w:val="50"/>
    <w:rsid w:val="000141F7"/>
    <w:rPr>
      <w:color w:val="FFFFFF" w:themeColor="background1"/>
    </w:rPr>
    <w:tblPr>
      <w:tblStyleRowBandSize w:val="1"/>
      <w:tblStyleColBandSize w:val="1"/>
      <w:tblBorders>
        <w:top w:val="single" w:sz="24" w:space="0" w:color="303030" w:themeColor="text1"/>
        <w:left w:val="single" w:sz="24" w:space="0" w:color="303030" w:themeColor="text1"/>
        <w:bottom w:val="single" w:sz="24" w:space="0" w:color="303030" w:themeColor="text1"/>
        <w:right w:val="single" w:sz="24" w:space="0" w:color="303030" w:themeColor="text1"/>
      </w:tblBorders>
    </w:tblPr>
    <w:tcPr>
      <w:shd w:val="clear" w:color="auto" w:fill="30303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141F7"/>
    <w:rPr>
      <w:color w:val="FFFFFF" w:themeColor="background1"/>
    </w:rPr>
    <w:tblPr>
      <w:tblStyleRowBandSize w:val="1"/>
      <w:tblStyleColBandSize w:val="1"/>
      <w:tblBorders>
        <w:top w:val="single" w:sz="24" w:space="0" w:color="88E5BD" w:themeColor="accent1"/>
        <w:left w:val="single" w:sz="24" w:space="0" w:color="88E5BD" w:themeColor="accent1"/>
        <w:bottom w:val="single" w:sz="24" w:space="0" w:color="88E5BD" w:themeColor="accent1"/>
        <w:right w:val="single" w:sz="24" w:space="0" w:color="88E5BD" w:themeColor="accent1"/>
      </w:tblBorders>
    </w:tblPr>
    <w:tcPr>
      <w:shd w:val="clear" w:color="auto" w:fill="88E5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141F7"/>
    <w:rPr>
      <w:color w:val="FFFFFF" w:themeColor="background1"/>
    </w:rPr>
    <w:tblPr>
      <w:tblStyleRowBandSize w:val="1"/>
      <w:tblStyleColBandSize w:val="1"/>
      <w:tblBorders>
        <w:top w:val="single" w:sz="24" w:space="0" w:color="53C2E5" w:themeColor="accent2"/>
        <w:left w:val="single" w:sz="24" w:space="0" w:color="53C2E5" w:themeColor="accent2"/>
        <w:bottom w:val="single" w:sz="24" w:space="0" w:color="53C2E5" w:themeColor="accent2"/>
        <w:right w:val="single" w:sz="24" w:space="0" w:color="53C2E5" w:themeColor="accent2"/>
      </w:tblBorders>
    </w:tblPr>
    <w:tcPr>
      <w:shd w:val="clear" w:color="auto" w:fill="53C2E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141F7"/>
    <w:rPr>
      <w:color w:val="FFFFFF" w:themeColor="background1"/>
    </w:rPr>
    <w:tblPr>
      <w:tblStyleRowBandSize w:val="1"/>
      <w:tblStyleColBandSize w:val="1"/>
      <w:tblBorders>
        <w:top w:val="single" w:sz="24" w:space="0" w:color="8996F4" w:themeColor="accent3"/>
        <w:left w:val="single" w:sz="24" w:space="0" w:color="8996F4" w:themeColor="accent3"/>
        <w:bottom w:val="single" w:sz="24" w:space="0" w:color="8996F4" w:themeColor="accent3"/>
        <w:right w:val="single" w:sz="24" w:space="0" w:color="8996F4" w:themeColor="accent3"/>
      </w:tblBorders>
    </w:tblPr>
    <w:tcPr>
      <w:shd w:val="clear" w:color="auto" w:fill="8996F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141F7"/>
    <w:rPr>
      <w:color w:val="FFFFFF" w:themeColor="background1"/>
    </w:rPr>
    <w:tblPr>
      <w:tblStyleRowBandSize w:val="1"/>
      <w:tblStyleColBandSize w:val="1"/>
      <w:tblBorders>
        <w:top w:val="single" w:sz="24" w:space="0" w:color="EAA4EA" w:themeColor="accent4"/>
        <w:left w:val="single" w:sz="24" w:space="0" w:color="EAA4EA" w:themeColor="accent4"/>
        <w:bottom w:val="single" w:sz="24" w:space="0" w:color="EAA4EA" w:themeColor="accent4"/>
        <w:right w:val="single" w:sz="24" w:space="0" w:color="EAA4EA" w:themeColor="accent4"/>
      </w:tblBorders>
    </w:tblPr>
    <w:tcPr>
      <w:shd w:val="clear" w:color="auto" w:fill="EAA4E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141F7"/>
    <w:rPr>
      <w:color w:val="FFFFFF" w:themeColor="background1"/>
    </w:rPr>
    <w:tblPr>
      <w:tblStyleRowBandSize w:val="1"/>
      <w:tblStyleColBandSize w:val="1"/>
      <w:tblBorders>
        <w:top w:val="single" w:sz="24" w:space="0" w:color="FD969C" w:themeColor="accent5"/>
        <w:left w:val="single" w:sz="24" w:space="0" w:color="FD969C" w:themeColor="accent5"/>
        <w:bottom w:val="single" w:sz="24" w:space="0" w:color="FD969C" w:themeColor="accent5"/>
        <w:right w:val="single" w:sz="24" w:space="0" w:color="FD969C" w:themeColor="accent5"/>
      </w:tblBorders>
    </w:tblPr>
    <w:tcPr>
      <w:shd w:val="clear" w:color="auto" w:fill="FD969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141F7"/>
    <w:rPr>
      <w:color w:val="FFFFFF" w:themeColor="background1"/>
    </w:rPr>
    <w:tblPr>
      <w:tblStyleRowBandSize w:val="1"/>
      <w:tblStyleColBandSize w:val="1"/>
      <w:tblBorders>
        <w:top w:val="single" w:sz="24" w:space="0" w:color="B7EFD7" w:themeColor="accent6"/>
        <w:left w:val="single" w:sz="24" w:space="0" w:color="B7EFD7" w:themeColor="accent6"/>
        <w:bottom w:val="single" w:sz="24" w:space="0" w:color="B7EFD7" w:themeColor="accent6"/>
        <w:right w:val="single" w:sz="24" w:space="0" w:color="B7EFD7" w:themeColor="accent6"/>
      </w:tblBorders>
    </w:tblPr>
    <w:tcPr>
      <w:shd w:val="clear" w:color="auto" w:fill="B7EF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141F7"/>
    <w:rPr>
      <w:color w:val="303030" w:themeColor="text1"/>
    </w:rPr>
    <w:tblPr>
      <w:tblStyleRowBandSize w:val="1"/>
      <w:tblStyleColBandSize w:val="1"/>
      <w:tblBorders>
        <w:top w:val="single" w:sz="4" w:space="0" w:color="303030" w:themeColor="text1"/>
        <w:bottom w:val="single" w:sz="4" w:space="0" w:color="303030" w:themeColor="text1"/>
      </w:tblBorders>
    </w:tblPr>
    <w:tblStylePr w:type="firstRow">
      <w:rPr>
        <w:b/>
        <w:bCs/>
      </w:rPr>
      <w:tblPr/>
      <w:tcPr>
        <w:tcBorders>
          <w:bottom w:val="single" w:sz="4" w:space="0" w:color="303030" w:themeColor="text1"/>
        </w:tcBorders>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6ColorfulAccent1">
    <w:name w:val="List Table 6 Colorful Accent 1"/>
    <w:basedOn w:val="TableNormal"/>
    <w:uiPriority w:val="51"/>
    <w:rsid w:val="000141F7"/>
    <w:rPr>
      <w:color w:val="3CD493" w:themeColor="accent1" w:themeShade="BF"/>
    </w:rPr>
    <w:tblPr>
      <w:tblStyleRowBandSize w:val="1"/>
      <w:tblStyleColBandSize w:val="1"/>
      <w:tblBorders>
        <w:top w:val="single" w:sz="4" w:space="0" w:color="88E5BD" w:themeColor="accent1"/>
        <w:bottom w:val="single" w:sz="4" w:space="0" w:color="88E5BD" w:themeColor="accent1"/>
      </w:tblBorders>
    </w:tblPr>
    <w:tblStylePr w:type="firstRow">
      <w:rPr>
        <w:b/>
        <w:bCs/>
      </w:rPr>
      <w:tblPr/>
      <w:tcPr>
        <w:tcBorders>
          <w:bottom w:val="single" w:sz="4" w:space="0" w:color="88E5BD" w:themeColor="accent1"/>
        </w:tcBorders>
      </w:tcPr>
    </w:tblStylePr>
    <w:tblStylePr w:type="lastRow">
      <w:rPr>
        <w:b/>
        <w:bCs/>
      </w:rPr>
      <w:tblPr/>
      <w:tcPr>
        <w:tcBorders>
          <w:top w:val="double" w:sz="4" w:space="0" w:color="88E5BD" w:themeColor="accent1"/>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6ColorfulAccent2">
    <w:name w:val="List Table 6 Colorful Accent 2"/>
    <w:basedOn w:val="TableNormal"/>
    <w:uiPriority w:val="51"/>
    <w:rsid w:val="000141F7"/>
    <w:rPr>
      <w:color w:val="1EA1CA" w:themeColor="accent2" w:themeShade="BF"/>
    </w:rPr>
    <w:tblPr>
      <w:tblStyleRowBandSize w:val="1"/>
      <w:tblStyleColBandSize w:val="1"/>
      <w:tblBorders>
        <w:top w:val="single" w:sz="4" w:space="0" w:color="53C2E5" w:themeColor="accent2"/>
        <w:bottom w:val="single" w:sz="4" w:space="0" w:color="53C2E5" w:themeColor="accent2"/>
      </w:tblBorders>
    </w:tblPr>
    <w:tblStylePr w:type="firstRow">
      <w:rPr>
        <w:b/>
        <w:bCs/>
      </w:rPr>
      <w:tblPr/>
      <w:tcPr>
        <w:tcBorders>
          <w:bottom w:val="single" w:sz="4" w:space="0" w:color="53C2E5" w:themeColor="accent2"/>
        </w:tcBorders>
      </w:tcPr>
    </w:tblStylePr>
    <w:tblStylePr w:type="lastRow">
      <w:rPr>
        <w:b/>
        <w:bCs/>
      </w:rPr>
      <w:tblPr/>
      <w:tcPr>
        <w:tcBorders>
          <w:top w:val="double" w:sz="4" w:space="0" w:color="53C2E5" w:themeColor="accent2"/>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6ColorfulAccent3">
    <w:name w:val="List Table 6 Colorful Accent 3"/>
    <w:basedOn w:val="TableNormal"/>
    <w:uiPriority w:val="51"/>
    <w:rsid w:val="000141F7"/>
    <w:rPr>
      <w:color w:val="3147EC" w:themeColor="accent3" w:themeShade="BF"/>
    </w:rPr>
    <w:tblPr>
      <w:tblStyleRowBandSize w:val="1"/>
      <w:tblStyleColBandSize w:val="1"/>
      <w:tblBorders>
        <w:top w:val="single" w:sz="4" w:space="0" w:color="8996F4" w:themeColor="accent3"/>
        <w:bottom w:val="single" w:sz="4" w:space="0" w:color="8996F4" w:themeColor="accent3"/>
      </w:tblBorders>
    </w:tblPr>
    <w:tblStylePr w:type="firstRow">
      <w:rPr>
        <w:b/>
        <w:bCs/>
      </w:rPr>
      <w:tblPr/>
      <w:tcPr>
        <w:tcBorders>
          <w:bottom w:val="single" w:sz="4" w:space="0" w:color="8996F4" w:themeColor="accent3"/>
        </w:tcBorders>
      </w:tcPr>
    </w:tblStylePr>
    <w:tblStylePr w:type="lastRow">
      <w:rPr>
        <w:b/>
        <w:bCs/>
      </w:rPr>
      <w:tblPr/>
      <w:tcPr>
        <w:tcBorders>
          <w:top w:val="double" w:sz="4" w:space="0" w:color="8996F4" w:themeColor="accent3"/>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6ColorfulAccent4">
    <w:name w:val="List Table 6 Colorful Accent 4"/>
    <w:basedOn w:val="TableNormal"/>
    <w:uiPriority w:val="51"/>
    <w:rsid w:val="000141F7"/>
    <w:rPr>
      <w:color w:val="D752D7" w:themeColor="accent4" w:themeShade="BF"/>
    </w:rPr>
    <w:tblPr>
      <w:tblStyleRowBandSize w:val="1"/>
      <w:tblStyleColBandSize w:val="1"/>
      <w:tblBorders>
        <w:top w:val="single" w:sz="4" w:space="0" w:color="EAA4EA" w:themeColor="accent4"/>
        <w:bottom w:val="single" w:sz="4" w:space="0" w:color="EAA4EA" w:themeColor="accent4"/>
      </w:tblBorders>
    </w:tblPr>
    <w:tblStylePr w:type="firstRow">
      <w:rPr>
        <w:b/>
        <w:bCs/>
      </w:rPr>
      <w:tblPr/>
      <w:tcPr>
        <w:tcBorders>
          <w:bottom w:val="single" w:sz="4" w:space="0" w:color="EAA4EA" w:themeColor="accent4"/>
        </w:tcBorders>
      </w:tcPr>
    </w:tblStylePr>
    <w:tblStylePr w:type="lastRow">
      <w:rPr>
        <w:b/>
        <w:bCs/>
      </w:rPr>
      <w:tblPr/>
      <w:tcPr>
        <w:tcBorders>
          <w:top w:val="double" w:sz="4" w:space="0" w:color="EAA4EA" w:themeColor="accent4"/>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6ColorfulAccent5">
    <w:name w:val="List Table 6 Colorful Accent 5"/>
    <w:basedOn w:val="TableNormal"/>
    <w:uiPriority w:val="51"/>
    <w:rsid w:val="000141F7"/>
    <w:rPr>
      <w:color w:val="FB323D" w:themeColor="accent5" w:themeShade="BF"/>
    </w:rPr>
    <w:tblPr>
      <w:tblStyleRowBandSize w:val="1"/>
      <w:tblStyleColBandSize w:val="1"/>
      <w:tblBorders>
        <w:top w:val="single" w:sz="4" w:space="0" w:color="FD969C" w:themeColor="accent5"/>
        <w:bottom w:val="single" w:sz="4" w:space="0" w:color="FD969C" w:themeColor="accent5"/>
      </w:tblBorders>
    </w:tblPr>
    <w:tblStylePr w:type="firstRow">
      <w:rPr>
        <w:b/>
        <w:bCs/>
      </w:rPr>
      <w:tblPr/>
      <w:tcPr>
        <w:tcBorders>
          <w:bottom w:val="single" w:sz="4" w:space="0" w:color="FD969C" w:themeColor="accent5"/>
        </w:tcBorders>
      </w:tcPr>
    </w:tblStylePr>
    <w:tblStylePr w:type="lastRow">
      <w:rPr>
        <w:b/>
        <w:bCs/>
      </w:rPr>
      <w:tblPr/>
      <w:tcPr>
        <w:tcBorders>
          <w:top w:val="double" w:sz="4" w:space="0" w:color="FD969C" w:themeColor="accent5"/>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6ColorfulAccent6">
    <w:name w:val="List Table 6 Colorful Accent 6"/>
    <w:basedOn w:val="TableNormal"/>
    <w:uiPriority w:val="51"/>
    <w:rsid w:val="000141F7"/>
    <w:rPr>
      <w:color w:val="60DBA6" w:themeColor="accent6" w:themeShade="BF"/>
    </w:rPr>
    <w:tblPr>
      <w:tblStyleRowBandSize w:val="1"/>
      <w:tblStyleColBandSize w:val="1"/>
      <w:tblBorders>
        <w:top w:val="single" w:sz="4" w:space="0" w:color="B7EFD7" w:themeColor="accent6"/>
        <w:bottom w:val="single" w:sz="4" w:space="0" w:color="B7EFD7" w:themeColor="accent6"/>
      </w:tblBorders>
    </w:tblPr>
    <w:tblStylePr w:type="firstRow">
      <w:rPr>
        <w:b/>
        <w:bCs/>
      </w:rPr>
      <w:tblPr/>
      <w:tcPr>
        <w:tcBorders>
          <w:bottom w:val="single" w:sz="4" w:space="0" w:color="B7EFD7" w:themeColor="accent6"/>
        </w:tcBorders>
      </w:tcPr>
    </w:tblStylePr>
    <w:tblStylePr w:type="lastRow">
      <w:rPr>
        <w:b/>
        <w:bCs/>
      </w:rPr>
      <w:tblPr/>
      <w:tcPr>
        <w:tcBorders>
          <w:top w:val="double" w:sz="4" w:space="0" w:color="B7EFD7" w:themeColor="accent6"/>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7Colorful">
    <w:name w:val="List Table 7 Colorful"/>
    <w:basedOn w:val="TableNormal"/>
    <w:uiPriority w:val="52"/>
    <w:rsid w:val="000141F7"/>
    <w:rPr>
      <w:color w:val="30303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03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03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03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030" w:themeColor="text1"/>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141F7"/>
    <w:rPr>
      <w:color w:val="3CD49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E5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E5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E5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E5BD" w:themeColor="accent1"/>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141F7"/>
    <w:rPr>
      <w:color w:val="1EA1C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C2E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C2E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C2E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C2E5" w:themeColor="accent2"/>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141F7"/>
    <w:rPr>
      <w:color w:val="3147E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96F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96F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96F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96F4" w:themeColor="accent3"/>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141F7"/>
    <w:rPr>
      <w:color w:val="D752D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A4E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A4E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A4E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A4EA" w:themeColor="accent4"/>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141F7"/>
    <w:rPr>
      <w:color w:val="FB323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969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969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969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969C" w:themeColor="accent5"/>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141F7"/>
    <w:rPr>
      <w:color w:val="60DBA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EF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EF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EF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EFD7" w:themeColor="accent6"/>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uiPriority w:val="99"/>
    <w:semiHidden/>
    <w:rsid w:val="000141F7"/>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Theme="minorHAnsi" w:cstheme="minorBidi"/>
      <w:sz w:val="20"/>
      <w:szCs w:val="20"/>
      <w:lang w:eastAsia="en-US"/>
    </w:rPr>
  </w:style>
  <w:style w:type="character" w:customStyle="1" w:styleId="MacroTextChar">
    <w:name w:val="Macro Text Char"/>
    <w:basedOn w:val="DefaultParagraphFont"/>
    <w:link w:val="Macro"/>
    <w:uiPriority w:val="99"/>
    <w:semiHidden/>
    <w:rsid w:val="000141F7"/>
    <w:rPr>
      <w:rFonts w:ascii="Consolas" w:hAnsi="Consolas" w:eastAsiaTheme="minorHAnsi" w:cstheme="minorBidi"/>
      <w:sz w:val="20"/>
      <w:szCs w:val="20"/>
      <w:lang w:eastAsia="en-US"/>
    </w:rPr>
  </w:style>
  <w:style w:type="table" w:styleId="MediumGrid1">
    <w:name w:val="Medium Grid 1"/>
    <w:basedOn w:val="TableNormal"/>
    <w:uiPriority w:val="67"/>
    <w:semiHidden/>
    <w:rsid w:val="000141F7"/>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insideV w:val="single" w:sz="8" w:space="0" w:color="636363" w:themeColor="text1" w:themeTint="BF"/>
      </w:tblBorders>
    </w:tblPr>
    <w:tcPr>
      <w:shd w:val="clear" w:color="auto" w:fill="CBCBCB" w:themeFill="text1" w:themeFillTint="3F"/>
    </w:tcPr>
    <w:tblStylePr w:type="firstRow">
      <w:rPr>
        <w:b/>
        <w:bCs/>
      </w:rPr>
    </w:tblStylePr>
    <w:tblStylePr w:type="lastRow">
      <w:rPr>
        <w:b/>
        <w:bCs/>
      </w:rPr>
      <w:tblPr/>
      <w:tcPr>
        <w:tcBorders>
          <w:top w:val="single" w:sz="18" w:space="0" w:color="636363" w:themeColor="text1" w:themeTint="BF"/>
        </w:tcBorders>
      </w:tcPr>
    </w:tblStylePr>
    <w:tblStylePr w:type="firstCol">
      <w:rPr>
        <w:b/>
        <w:bCs/>
      </w:rPr>
    </w:tblStylePr>
    <w:tblStylePr w:type="lastCol">
      <w:rPr>
        <w:b/>
        <w:bCs/>
      </w:r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MediumGrid1Accent1">
    <w:name w:val="Medium Grid 1 Accent 1"/>
    <w:basedOn w:val="TableNormal"/>
    <w:uiPriority w:val="67"/>
    <w:semiHidden/>
    <w:rsid w:val="000141F7"/>
    <w:tblPr>
      <w:tblStyleRowBandSize w:val="1"/>
      <w:tblStyleColBandSize w:val="1"/>
      <w:tblBorders>
        <w:top w:val="single" w:sz="8"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single" w:sz="8" w:space="0" w:color="A5EBCD" w:themeColor="accent1" w:themeTint="BF"/>
        <w:insideV w:val="single" w:sz="8" w:space="0" w:color="A5EBCD" w:themeColor="accent1" w:themeTint="BF"/>
      </w:tblBorders>
    </w:tblPr>
    <w:tcPr>
      <w:shd w:val="clear" w:color="auto" w:fill="E1F8EE" w:themeFill="accent1" w:themeFillTint="3F"/>
    </w:tcPr>
    <w:tblStylePr w:type="firstRow">
      <w:rPr>
        <w:b/>
        <w:bCs/>
      </w:rPr>
    </w:tblStylePr>
    <w:tblStylePr w:type="lastRow">
      <w:rPr>
        <w:b/>
        <w:bCs/>
      </w:rPr>
      <w:tblPr/>
      <w:tcPr>
        <w:tcBorders>
          <w:top w:val="single" w:sz="18" w:space="0" w:color="A5EBCD" w:themeColor="accent1" w:themeTint="BF"/>
        </w:tcBorders>
      </w:tcPr>
    </w:tblStylePr>
    <w:tblStylePr w:type="firstCol">
      <w:rPr>
        <w:b/>
        <w:bCs/>
      </w:rPr>
    </w:tblStylePr>
    <w:tblStylePr w:type="lastCol">
      <w:rPr>
        <w:b/>
        <w:bCs/>
      </w:rPr>
    </w:tblStylePr>
    <w:tblStylePr w:type="band1Vert">
      <w:tblPr/>
      <w:tcPr>
        <w:shd w:val="clear" w:color="auto" w:fill="C3F2DE" w:themeFill="accent1" w:themeFillTint="7F"/>
      </w:tcPr>
    </w:tblStylePr>
    <w:tblStylePr w:type="band1Horz">
      <w:tblPr/>
      <w:tcPr>
        <w:shd w:val="clear" w:color="auto" w:fill="C3F2DE" w:themeFill="accent1" w:themeFillTint="7F"/>
      </w:tcPr>
    </w:tblStylePr>
  </w:style>
  <w:style w:type="table" w:styleId="MediumGrid1Accent2">
    <w:name w:val="Medium Grid 1 Accent 2"/>
    <w:basedOn w:val="TableNormal"/>
    <w:uiPriority w:val="67"/>
    <w:semiHidden/>
    <w:rsid w:val="000141F7"/>
    <w:tblPr>
      <w:tblStyleRowBandSize w:val="1"/>
      <w:tblStyleColBandSize w:val="1"/>
      <w:tblBorders>
        <w:top w:val="single" w:sz="8"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single" w:sz="8" w:space="0" w:color="7ED1EB" w:themeColor="accent2" w:themeTint="BF"/>
        <w:insideV w:val="single" w:sz="8" w:space="0" w:color="7ED1EB" w:themeColor="accent2" w:themeTint="BF"/>
      </w:tblBorders>
    </w:tblPr>
    <w:tcPr>
      <w:shd w:val="clear" w:color="auto" w:fill="D4EFF8" w:themeFill="accent2" w:themeFillTint="3F"/>
    </w:tcPr>
    <w:tblStylePr w:type="firstRow">
      <w:rPr>
        <w:b/>
        <w:bCs/>
      </w:rPr>
    </w:tblStylePr>
    <w:tblStylePr w:type="lastRow">
      <w:rPr>
        <w:b/>
        <w:bCs/>
      </w:rPr>
      <w:tblPr/>
      <w:tcPr>
        <w:tcBorders>
          <w:top w:val="single" w:sz="18" w:space="0" w:color="7ED1EB" w:themeColor="accent2" w:themeTint="BF"/>
        </w:tcBorders>
      </w:tcPr>
    </w:tblStylePr>
    <w:tblStylePr w:type="firstCol">
      <w:rPr>
        <w:b/>
        <w:bCs/>
      </w:rPr>
    </w:tblStylePr>
    <w:tblStylePr w:type="lastCol">
      <w:rPr>
        <w:b/>
        <w:bCs/>
      </w:rPr>
    </w:tblStylePr>
    <w:tblStylePr w:type="band1Vert">
      <w:tblPr/>
      <w:tcPr>
        <w:shd w:val="clear" w:color="auto" w:fill="A9E0F2" w:themeFill="accent2" w:themeFillTint="7F"/>
      </w:tcPr>
    </w:tblStylePr>
    <w:tblStylePr w:type="band1Horz">
      <w:tblPr/>
      <w:tcPr>
        <w:shd w:val="clear" w:color="auto" w:fill="A9E0F2" w:themeFill="accent2" w:themeFillTint="7F"/>
      </w:tcPr>
    </w:tblStylePr>
  </w:style>
  <w:style w:type="table" w:styleId="MediumGrid1Accent3">
    <w:name w:val="Medium Grid 1 Accent 3"/>
    <w:basedOn w:val="TableNormal"/>
    <w:uiPriority w:val="67"/>
    <w:semiHidden/>
    <w:rsid w:val="000141F7"/>
    <w:tblPr>
      <w:tblStyleRowBandSize w:val="1"/>
      <w:tblStyleColBandSize w:val="1"/>
      <w:tblBorders>
        <w:top w:val="single" w:sz="8"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single" w:sz="8" w:space="0" w:color="A6AFF6" w:themeColor="accent3" w:themeTint="BF"/>
        <w:insideV w:val="single" w:sz="8" w:space="0" w:color="A6AFF6" w:themeColor="accent3" w:themeTint="BF"/>
      </w:tblBorders>
    </w:tblPr>
    <w:tcPr>
      <w:shd w:val="clear" w:color="auto" w:fill="E1E4FC" w:themeFill="accent3" w:themeFillTint="3F"/>
    </w:tcPr>
    <w:tblStylePr w:type="firstRow">
      <w:rPr>
        <w:b/>
        <w:bCs/>
      </w:rPr>
    </w:tblStylePr>
    <w:tblStylePr w:type="lastRow">
      <w:rPr>
        <w:b/>
        <w:bCs/>
      </w:rPr>
      <w:tblPr/>
      <w:tcPr>
        <w:tcBorders>
          <w:top w:val="single" w:sz="18" w:space="0" w:color="A6AFF6" w:themeColor="accent3" w:themeTint="BF"/>
        </w:tcBorders>
      </w:tcPr>
    </w:tblStylePr>
    <w:tblStylePr w:type="firstCol">
      <w:rPr>
        <w:b/>
        <w:bCs/>
      </w:rPr>
    </w:tblStylePr>
    <w:tblStylePr w:type="lastCol">
      <w:rPr>
        <w:b/>
        <w:bCs/>
      </w:rPr>
    </w:tblStylePr>
    <w:tblStylePr w:type="band1Vert">
      <w:tblPr/>
      <w:tcPr>
        <w:shd w:val="clear" w:color="auto" w:fill="C4CAF9" w:themeFill="accent3" w:themeFillTint="7F"/>
      </w:tcPr>
    </w:tblStylePr>
    <w:tblStylePr w:type="band1Horz">
      <w:tblPr/>
      <w:tcPr>
        <w:shd w:val="clear" w:color="auto" w:fill="C4CAF9" w:themeFill="accent3" w:themeFillTint="7F"/>
      </w:tcPr>
    </w:tblStylePr>
  </w:style>
  <w:style w:type="table" w:styleId="MediumGrid1Accent4">
    <w:name w:val="Medium Grid 1 Accent 4"/>
    <w:basedOn w:val="TableNormal"/>
    <w:uiPriority w:val="67"/>
    <w:semiHidden/>
    <w:rsid w:val="000141F7"/>
    <w:tblPr>
      <w:tblStyleRowBandSize w:val="1"/>
      <w:tblStyleColBandSize w:val="1"/>
      <w:tblBorders>
        <w:top w:val="single" w:sz="8"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single" w:sz="8" w:space="0" w:color="EFBAEF" w:themeColor="accent4" w:themeTint="BF"/>
        <w:insideV w:val="single" w:sz="8" w:space="0" w:color="EFBAEF" w:themeColor="accent4" w:themeTint="BF"/>
      </w:tblBorders>
    </w:tblPr>
    <w:tcPr>
      <w:shd w:val="clear" w:color="auto" w:fill="F9E8F9" w:themeFill="accent4" w:themeFillTint="3F"/>
    </w:tcPr>
    <w:tblStylePr w:type="firstRow">
      <w:rPr>
        <w:b/>
        <w:bCs/>
      </w:rPr>
    </w:tblStylePr>
    <w:tblStylePr w:type="lastRow">
      <w:rPr>
        <w:b/>
        <w:bCs/>
      </w:rPr>
      <w:tblPr/>
      <w:tcPr>
        <w:tcBorders>
          <w:top w:val="single" w:sz="18" w:space="0" w:color="EFBAEF" w:themeColor="accent4" w:themeTint="BF"/>
        </w:tcBorders>
      </w:tcPr>
    </w:tblStylePr>
    <w:tblStylePr w:type="firstCol">
      <w:rPr>
        <w:b/>
        <w:bCs/>
      </w:rPr>
    </w:tblStylePr>
    <w:tblStylePr w:type="lastCol">
      <w:rPr>
        <w:b/>
        <w:bCs/>
      </w:rPr>
    </w:tblStylePr>
    <w:tblStylePr w:type="band1Vert">
      <w:tblPr/>
      <w:tcPr>
        <w:shd w:val="clear" w:color="auto" w:fill="F4D1F4" w:themeFill="accent4" w:themeFillTint="7F"/>
      </w:tcPr>
    </w:tblStylePr>
    <w:tblStylePr w:type="band1Horz">
      <w:tblPr/>
      <w:tcPr>
        <w:shd w:val="clear" w:color="auto" w:fill="F4D1F4" w:themeFill="accent4" w:themeFillTint="7F"/>
      </w:tcPr>
    </w:tblStylePr>
  </w:style>
  <w:style w:type="table" w:styleId="MediumGrid1Accent5">
    <w:name w:val="Medium Grid 1 Accent 5"/>
    <w:basedOn w:val="TableNormal"/>
    <w:uiPriority w:val="67"/>
    <w:semiHidden/>
    <w:rsid w:val="000141F7"/>
    <w:tblPr>
      <w:tblStyleRowBandSize w:val="1"/>
      <w:tblStyleColBandSize w:val="1"/>
      <w:tblBorders>
        <w:top w:val="single" w:sz="8"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single" w:sz="8" w:space="0" w:color="FDB0B4" w:themeColor="accent5" w:themeTint="BF"/>
        <w:insideV w:val="single" w:sz="8" w:space="0" w:color="FDB0B4" w:themeColor="accent5" w:themeTint="BF"/>
      </w:tblBorders>
    </w:tblPr>
    <w:tcPr>
      <w:shd w:val="clear" w:color="auto" w:fill="FEE4E6" w:themeFill="accent5" w:themeFillTint="3F"/>
    </w:tcPr>
    <w:tblStylePr w:type="firstRow">
      <w:rPr>
        <w:b/>
        <w:bCs/>
      </w:rPr>
    </w:tblStylePr>
    <w:tblStylePr w:type="lastRow">
      <w:rPr>
        <w:b/>
        <w:bCs/>
      </w:rPr>
      <w:tblPr/>
      <w:tcPr>
        <w:tcBorders>
          <w:top w:val="single" w:sz="18" w:space="0" w:color="FDB0B4" w:themeColor="accent5" w:themeTint="BF"/>
        </w:tcBorders>
      </w:tcPr>
    </w:tblStylePr>
    <w:tblStylePr w:type="firstCol">
      <w:rPr>
        <w:b/>
        <w:bCs/>
      </w:rPr>
    </w:tblStylePr>
    <w:tblStylePr w:type="lastCol">
      <w:rPr>
        <w:b/>
        <w:bCs/>
      </w:rPr>
    </w:tblStylePr>
    <w:tblStylePr w:type="band1Vert">
      <w:tblPr/>
      <w:tcPr>
        <w:shd w:val="clear" w:color="auto" w:fill="FECACD" w:themeFill="accent5" w:themeFillTint="7F"/>
      </w:tcPr>
    </w:tblStylePr>
    <w:tblStylePr w:type="band1Horz">
      <w:tblPr/>
      <w:tcPr>
        <w:shd w:val="clear" w:color="auto" w:fill="FECACD" w:themeFill="accent5" w:themeFillTint="7F"/>
      </w:tcPr>
    </w:tblStylePr>
  </w:style>
  <w:style w:type="table" w:styleId="MediumGrid1Accent6">
    <w:name w:val="Medium Grid 1 Accent 6"/>
    <w:basedOn w:val="TableNormal"/>
    <w:uiPriority w:val="67"/>
    <w:semiHidden/>
    <w:rsid w:val="000141F7"/>
    <w:tblPr>
      <w:tblStyleRowBandSize w:val="1"/>
      <w:tblStyleColBandSize w:val="1"/>
      <w:tblBorders>
        <w:top w:val="single" w:sz="8"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single" w:sz="8" w:space="0" w:color="C9F3E0" w:themeColor="accent6" w:themeTint="BF"/>
        <w:insideV w:val="single" w:sz="8" w:space="0" w:color="C9F3E0" w:themeColor="accent6" w:themeTint="BF"/>
      </w:tblBorders>
    </w:tblPr>
    <w:tcPr>
      <w:shd w:val="clear" w:color="auto" w:fill="EDFBF4" w:themeFill="accent6" w:themeFillTint="3F"/>
    </w:tcPr>
    <w:tblStylePr w:type="firstRow">
      <w:rPr>
        <w:b/>
        <w:bCs/>
      </w:rPr>
    </w:tblStylePr>
    <w:tblStylePr w:type="lastRow">
      <w:rPr>
        <w:b/>
        <w:bCs/>
      </w:rPr>
      <w:tblPr/>
      <w:tcPr>
        <w:tcBorders>
          <w:top w:val="single" w:sz="18" w:space="0" w:color="C9F3E0" w:themeColor="accent6" w:themeTint="BF"/>
        </w:tcBorders>
      </w:tcPr>
    </w:tblStylePr>
    <w:tblStylePr w:type="firstCol">
      <w:rPr>
        <w:b/>
        <w:bCs/>
      </w:rPr>
    </w:tblStylePr>
    <w:tblStylePr w:type="lastCol">
      <w:rPr>
        <w:b/>
        <w:bCs/>
      </w:rPr>
    </w:tblStylePr>
    <w:tblStylePr w:type="band1Vert">
      <w:tblPr/>
      <w:tcPr>
        <w:shd w:val="clear" w:color="auto" w:fill="DBF7EA" w:themeFill="accent6" w:themeFillTint="7F"/>
      </w:tcPr>
    </w:tblStylePr>
    <w:tblStylePr w:type="band1Horz">
      <w:tblPr/>
      <w:tcPr>
        <w:shd w:val="clear" w:color="auto" w:fill="DBF7EA" w:themeFill="accent6" w:themeFillTint="7F"/>
      </w:tcPr>
    </w:tblStylePr>
  </w:style>
  <w:style w:type="table" w:styleId="MediumGrid2">
    <w:name w:val="Medium Grid 2"/>
    <w:basedOn w:val="TableNormal"/>
    <w:uiPriority w:val="68"/>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cPr>
      <w:shd w:val="clear" w:color="auto" w:fill="CBCBCB" w:themeFill="text1" w:themeFillTint="3F"/>
    </w:tcPr>
    <w:tblStylePr w:type="firstRow">
      <w:rPr>
        <w:b/>
        <w:bCs/>
        <w:color w:val="303030" w:themeColor="text1"/>
      </w:rPr>
      <w:tblPr/>
      <w:tcPr>
        <w:shd w:val="clear" w:color="auto" w:fill="EAEAEA" w:themeFill="tex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5D5D5" w:themeFill="text1" w:themeFillTint="33"/>
      </w:tcPr>
    </w:tblStylePr>
    <w:tblStylePr w:type="band1Vert">
      <w:tblPr/>
      <w:tcPr>
        <w:shd w:val="clear" w:color="auto" w:fill="979797" w:themeFill="text1" w:themeFillTint="7F"/>
      </w:tcPr>
    </w:tblStylePr>
    <w:tblStylePr w:type="band1Horz">
      <w:tblPr/>
      <w:tcPr>
        <w:tcBorders>
          <w:insideH w:val="single" w:sz="6" w:space="0" w:color="303030" w:themeColor="text1"/>
          <w:insideV w:val="single" w:sz="6" w:space="0" w:color="303030" w:themeColor="text1"/>
        </w:tcBorders>
        <w:shd w:val="clear" w:color="auto" w:fill="979797"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insideH w:val="single" w:sz="8" w:space="0" w:color="88E5BD" w:themeColor="accent1"/>
        <w:insideV w:val="single" w:sz="8" w:space="0" w:color="88E5BD" w:themeColor="accent1"/>
      </w:tblBorders>
    </w:tblPr>
    <w:tcPr>
      <w:shd w:val="clear" w:color="auto" w:fill="E1F8EE" w:themeFill="accent1" w:themeFillTint="3F"/>
    </w:tcPr>
    <w:tblStylePr w:type="firstRow">
      <w:rPr>
        <w:b/>
        <w:bCs/>
        <w:color w:val="303030" w:themeColor="text1"/>
      </w:rPr>
      <w:tblPr/>
      <w:tcPr>
        <w:shd w:val="clear" w:color="auto" w:fill="F3FCF8" w:themeFill="accen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7F9F1" w:themeFill="accent1" w:themeFillTint="33"/>
      </w:tcPr>
    </w:tblStylePr>
    <w:tblStylePr w:type="band1Vert">
      <w:tblPr/>
      <w:tcPr>
        <w:shd w:val="clear" w:color="auto" w:fill="C3F2DE" w:themeFill="accent1" w:themeFillTint="7F"/>
      </w:tcPr>
    </w:tblStylePr>
    <w:tblStylePr w:type="band1Horz">
      <w:tblPr/>
      <w:tcPr>
        <w:tcBorders>
          <w:insideH w:val="single" w:sz="6" w:space="0" w:color="88E5BD" w:themeColor="accent1"/>
          <w:insideV w:val="single" w:sz="6" w:space="0" w:color="88E5BD" w:themeColor="accent1"/>
        </w:tcBorders>
        <w:shd w:val="clear" w:color="auto" w:fill="C3F2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insideH w:val="single" w:sz="8" w:space="0" w:color="53C2E5" w:themeColor="accent2"/>
        <w:insideV w:val="single" w:sz="8" w:space="0" w:color="53C2E5" w:themeColor="accent2"/>
      </w:tblBorders>
    </w:tblPr>
    <w:tcPr>
      <w:shd w:val="clear" w:color="auto" w:fill="D4EFF8" w:themeFill="accent2" w:themeFillTint="3F"/>
    </w:tcPr>
    <w:tblStylePr w:type="firstRow">
      <w:rPr>
        <w:b/>
        <w:bCs/>
        <w:color w:val="303030" w:themeColor="text1"/>
      </w:rPr>
      <w:tblPr/>
      <w:tcPr>
        <w:shd w:val="clear" w:color="auto" w:fill="EDF8FC" w:themeFill="accent2"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CF2F9" w:themeFill="accent2" w:themeFillTint="33"/>
      </w:tcPr>
    </w:tblStylePr>
    <w:tblStylePr w:type="band1Vert">
      <w:tblPr/>
      <w:tcPr>
        <w:shd w:val="clear" w:color="auto" w:fill="A9E0F2" w:themeFill="accent2" w:themeFillTint="7F"/>
      </w:tcPr>
    </w:tblStylePr>
    <w:tblStylePr w:type="band1Horz">
      <w:tblPr/>
      <w:tcPr>
        <w:tcBorders>
          <w:insideH w:val="single" w:sz="6" w:space="0" w:color="53C2E5" w:themeColor="accent2"/>
          <w:insideV w:val="single" w:sz="6" w:space="0" w:color="53C2E5" w:themeColor="accent2"/>
        </w:tcBorders>
        <w:shd w:val="clear" w:color="auto" w:fill="A9E0F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insideH w:val="single" w:sz="8" w:space="0" w:color="8996F4" w:themeColor="accent3"/>
        <w:insideV w:val="single" w:sz="8" w:space="0" w:color="8996F4" w:themeColor="accent3"/>
      </w:tblBorders>
    </w:tblPr>
    <w:tcPr>
      <w:shd w:val="clear" w:color="auto" w:fill="E1E4FC" w:themeFill="accent3" w:themeFillTint="3F"/>
    </w:tcPr>
    <w:tblStylePr w:type="firstRow">
      <w:rPr>
        <w:b/>
        <w:bCs/>
        <w:color w:val="303030" w:themeColor="text1"/>
      </w:rPr>
      <w:tblPr/>
      <w:tcPr>
        <w:shd w:val="clear" w:color="auto" w:fill="F3F4FE" w:themeFill="accent3"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7E9FC" w:themeFill="accent3" w:themeFillTint="33"/>
      </w:tcPr>
    </w:tblStylePr>
    <w:tblStylePr w:type="band1Vert">
      <w:tblPr/>
      <w:tcPr>
        <w:shd w:val="clear" w:color="auto" w:fill="C4CAF9" w:themeFill="accent3" w:themeFillTint="7F"/>
      </w:tcPr>
    </w:tblStylePr>
    <w:tblStylePr w:type="band1Horz">
      <w:tblPr/>
      <w:tcPr>
        <w:tcBorders>
          <w:insideH w:val="single" w:sz="6" w:space="0" w:color="8996F4" w:themeColor="accent3"/>
          <w:insideV w:val="single" w:sz="6" w:space="0" w:color="8996F4" w:themeColor="accent3"/>
        </w:tcBorders>
        <w:shd w:val="clear" w:color="auto" w:fill="C4CAF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insideH w:val="single" w:sz="8" w:space="0" w:color="EAA4EA" w:themeColor="accent4"/>
        <w:insideV w:val="single" w:sz="8" w:space="0" w:color="EAA4EA" w:themeColor="accent4"/>
      </w:tblBorders>
    </w:tblPr>
    <w:tcPr>
      <w:shd w:val="clear" w:color="auto" w:fill="F9E8F9" w:themeFill="accent4" w:themeFillTint="3F"/>
    </w:tcPr>
    <w:tblStylePr w:type="firstRow">
      <w:rPr>
        <w:b/>
        <w:bCs/>
        <w:color w:val="303030" w:themeColor="text1"/>
      </w:rPr>
      <w:tblPr/>
      <w:tcPr>
        <w:shd w:val="clear" w:color="auto" w:fill="FDF6FD" w:themeFill="accent4"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AECFA" w:themeFill="accent4" w:themeFillTint="33"/>
      </w:tcPr>
    </w:tblStylePr>
    <w:tblStylePr w:type="band1Vert">
      <w:tblPr/>
      <w:tcPr>
        <w:shd w:val="clear" w:color="auto" w:fill="F4D1F4" w:themeFill="accent4" w:themeFillTint="7F"/>
      </w:tcPr>
    </w:tblStylePr>
    <w:tblStylePr w:type="band1Horz">
      <w:tblPr/>
      <w:tcPr>
        <w:tcBorders>
          <w:insideH w:val="single" w:sz="6" w:space="0" w:color="EAA4EA" w:themeColor="accent4"/>
          <w:insideV w:val="single" w:sz="6" w:space="0" w:color="EAA4EA" w:themeColor="accent4"/>
        </w:tcBorders>
        <w:shd w:val="clear" w:color="auto" w:fill="F4D1F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insideH w:val="single" w:sz="8" w:space="0" w:color="FD969C" w:themeColor="accent5"/>
        <w:insideV w:val="single" w:sz="8" w:space="0" w:color="FD969C" w:themeColor="accent5"/>
      </w:tblBorders>
    </w:tblPr>
    <w:tcPr>
      <w:shd w:val="clear" w:color="auto" w:fill="FEE4E6" w:themeFill="accent5" w:themeFillTint="3F"/>
    </w:tcPr>
    <w:tblStylePr w:type="firstRow">
      <w:rPr>
        <w:b/>
        <w:bCs/>
        <w:color w:val="303030" w:themeColor="text1"/>
      </w:rPr>
      <w:tblPr/>
      <w:tcPr>
        <w:shd w:val="clear" w:color="auto" w:fill="FEF4F5" w:themeFill="accent5"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EE9EA" w:themeFill="accent5" w:themeFillTint="33"/>
      </w:tcPr>
    </w:tblStylePr>
    <w:tblStylePr w:type="band1Vert">
      <w:tblPr/>
      <w:tcPr>
        <w:shd w:val="clear" w:color="auto" w:fill="FECACD" w:themeFill="accent5" w:themeFillTint="7F"/>
      </w:tcPr>
    </w:tblStylePr>
    <w:tblStylePr w:type="band1Horz">
      <w:tblPr/>
      <w:tcPr>
        <w:tcBorders>
          <w:insideH w:val="single" w:sz="6" w:space="0" w:color="FD969C" w:themeColor="accent5"/>
          <w:insideV w:val="single" w:sz="6" w:space="0" w:color="FD969C" w:themeColor="accent5"/>
        </w:tcBorders>
        <w:shd w:val="clear" w:color="auto" w:fill="FECAC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insideH w:val="single" w:sz="8" w:space="0" w:color="B7EFD7" w:themeColor="accent6"/>
        <w:insideV w:val="single" w:sz="8" w:space="0" w:color="B7EFD7" w:themeColor="accent6"/>
      </w:tblBorders>
    </w:tblPr>
    <w:tcPr>
      <w:shd w:val="clear" w:color="auto" w:fill="EDFBF4" w:themeFill="accent6" w:themeFillTint="3F"/>
    </w:tcPr>
    <w:tblStylePr w:type="firstRow">
      <w:rPr>
        <w:b/>
        <w:bCs/>
        <w:color w:val="303030" w:themeColor="text1"/>
      </w:rPr>
      <w:tblPr/>
      <w:tcPr>
        <w:shd w:val="clear" w:color="auto" w:fill="F7FDFB" w:themeFill="accent6"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0FBF6" w:themeFill="accent6" w:themeFillTint="33"/>
      </w:tcPr>
    </w:tblStylePr>
    <w:tblStylePr w:type="band1Vert">
      <w:tblPr/>
      <w:tcPr>
        <w:shd w:val="clear" w:color="auto" w:fill="DBF7EA" w:themeFill="accent6" w:themeFillTint="7F"/>
      </w:tcPr>
    </w:tblStylePr>
    <w:tblStylePr w:type="band1Horz">
      <w:tblPr/>
      <w:tcPr>
        <w:tcBorders>
          <w:insideH w:val="single" w:sz="6" w:space="0" w:color="B7EFD7" w:themeColor="accent6"/>
          <w:insideV w:val="single" w:sz="6" w:space="0" w:color="B7EFD7" w:themeColor="accent6"/>
        </w:tcBorders>
        <w:shd w:val="clear" w:color="auto" w:fill="DBF7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141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BC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303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303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9797"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9797" w:themeFill="text1" w:themeFillTint="7F"/>
      </w:tcPr>
    </w:tblStylePr>
  </w:style>
  <w:style w:type="table" w:styleId="MediumGrid3Accent1">
    <w:name w:val="Medium Grid 3 Accent 1"/>
    <w:basedOn w:val="TableNormal"/>
    <w:uiPriority w:val="69"/>
    <w:semiHidden/>
    <w:rsid w:val="000141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8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E5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E5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E5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E5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F2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F2DE" w:themeFill="accent1" w:themeFillTint="7F"/>
      </w:tcPr>
    </w:tblStylePr>
  </w:style>
  <w:style w:type="table" w:styleId="MediumGrid3Accent2">
    <w:name w:val="Medium Grid 3 Accent 2"/>
    <w:basedOn w:val="TableNormal"/>
    <w:uiPriority w:val="69"/>
    <w:semiHidden/>
    <w:rsid w:val="000141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F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C2E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C2E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C2E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C2E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E0F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E0F2" w:themeFill="accent2" w:themeFillTint="7F"/>
      </w:tcPr>
    </w:tblStylePr>
  </w:style>
  <w:style w:type="table" w:styleId="MediumGrid3Accent3">
    <w:name w:val="Medium Grid 3 Accent 3"/>
    <w:basedOn w:val="TableNormal"/>
    <w:uiPriority w:val="69"/>
    <w:semiHidden/>
    <w:rsid w:val="000141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4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96F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96F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96F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96F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CA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CAF9" w:themeFill="accent3" w:themeFillTint="7F"/>
      </w:tcPr>
    </w:tblStylePr>
  </w:style>
  <w:style w:type="table" w:styleId="MediumGrid3Accent4">
    <w:name w:val="Medium Grid 3 Accent 4"/>
    <w:basedOn w:val="TableNormal"/>
    <w:uiPriority w:val="69"/>
    <w:semiHidden/>
    <w:rsid w:val="000141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8F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A4E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A4E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A4E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A4E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D1F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D1F4" w:themeFill="accent4" w:themeFillTint="7F"/>
      </w:tcPr>
    </w:tblStylePr>
  </w:style>
  <w:style w:type="table" w:styleId="MediumGrid3Accent5">
    <w:name w:val="Medium Grid 3 Accent 5"/>
    <w:basedOn w:val="TableNormal"/>
    <w:uiPriority w:val="69"/>
    <w:semiHidden/>
    <w:rsid w:val="000141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4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969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969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969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969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AC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ACD" w:themeFill="accent5" w:themeFillTint="7F"/>
      </w:tcPr>
    </w:tblStylePr>
  </w:style>
  <w:style w:type="table" w:styleId="MediumGrid3Accent6">
    <w:name w:val="Medium Grid 3 Accent 6"/>
    <w:basedOn w:val="TableNormal"/>
    <w:uiPriority w:val="69"/>
    <w:semiHidden/>
    <w:rsid w:val="000141F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B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EF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EF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EF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EF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7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7EA" w:themeFill="accent6" w:themeFillTint="7F"/>
      </w:tcPr>
    </w:tblStylePr>
  </w:style>
  <w:style w:type="table" w:styleId="MediumList1">
    <w:name w:val="Medium List 1"/>
    <w:basedOn w:val="TableNormal"/>
    <w:uiPriority w:val="65"/>
    <w:semiHidden/>
    <w:rsid w:val="000141F7"/>
    <w:rPr>
      <w:color w:val="303030" w:themeColor="text1"/>
    </w:rPr>
    <w:tblPr>
      <w:tblStyleRowBandSize w:val="1"/>
      <w:tblStyleColBandSize w:val="1"/>
      <w:tblBorders>
        <w:top w:val="single" w:sz="8" w:space="0" w:color="303030" w:themeColor="text1"/>
        <w:bottom w:val="single" w:sz="8" w:space="0" w:color="303030" w:themeColor="text1"/>
      </w:tblBorders>
    </w:tblPr>
    <w:tblStylePr w:type="firstRow">
      <w:rPr>
        <w:rFonts w:asciiTheme="majorHAnsi" w:eastAsiaTheme="majorEastAsia" w:hAnsiTheme="majorHAnsi" w:cstheme="majorBidi"/>
      </w:rPr>
      <w:tblPr/>
      <w:tcPr>
        <w:tcBorders>
          <w:top w:val="nil"/>
          <w:bottom w:val="single" w:sz="8" w:space="0" w:color="303030" w:themeColor="text1"/>
        </w:tcBorders>
      </w:tcPr>
    </w:tblStylePr>
    <w:tblStylePr w:type="lastRow">
      <w:rPr>
        <w:b/>
        <w:bCs/>
        <w:color w:val="FC515B" w:themeColor="text2"/>
      </w:rPr>
      <w:tblPr/>
      <w:tcPr>
        <w:tcBorders>
          <w:top w:val="single" w:sz="8" w:space="0" w:color="303030" w:themeColor="text1"/>
          <w:bottom w:val="single" w:sz="8" w:space="0" w:color="303030" w:themeColor="text1"/>
        </w:tcBorders>
      </w:tcPr>
    </w:tblStylePr>
    <w:tblStylePr w:type="firstCol">
      <w:rPr>
        <w:b/>
        <w:bCs/>
      </w:rPr>
    </w:tblStylePr>
    <w:tblStylePr w:type="lastCol">
      <w:rPr>
        <w:b/>
        <w:bCs/>
      </w:rPr>
      <w:tblPr/>
      <w:tcPr>
        <w:tcBorders>
          <w:top w:val="single" w:sz="8" w:space="0" w:color="303030" w:themeColor="text1"/>
          <w:bottom w:val="single" w:sz="8" w:space="0" w:color="303030" w:themeColor="text1"/>
        </w:tcBorders>
      </w:tcPr>
    </w:tblStylePr>
    <w:tblStylePr w:type="band1Vert">
      <w:tblPr/>
      <w:tcPr>
        <w:shd w:val="clear" w:color="auto" w:fill="CBCBCB" w:themeFill="text1" w:themeFillTint="3F"/>
      </w:tcPr>
    </w:tblStylePr>
    <w:tblStylePr w:type="band1Horz">
      <w:tblPr/>
      <w:tcPr>
        <w:shd w:val="clear" w:color="auto" w:fill="CBCBCB" w:themeFill="text1" w:themeFillTint="3F"/>
      </w:tcPr>
    </w:tblStylePr>
  </w:style>
  <w:style w:type="table" w:styleId="MediumList1Accent1">
    <w:name w:val="Medium List 1 Accent 1"/>
    <w:basedOn w:val="TableNormal"/>
    <w:uiPriority w:val="65"/>
    <w:semiHidden/>
    <w:rsid w:val="000141F7"/>
    <w:rPr>
      <w:color w:val="303030" w:themeColor="text1"/>
    </w:rPr>
    <w:tblPr>
      <w:tblStyleRowBandSize w:val="1"/>
      <w:tblStyleColBandSize w:val="1"/>
      <w:tblBorders>
        <w:top w:val="single" w:sz="8" w:space="0" w:color="88E5BD" w:themeColor="accent1"/>
        <w:bottom w:val="single" w:sz="8" w:space="0" w:color="88E5BD" w:themeColor="accent1"/>
      </w:tblBorders>
    </w:tblPr>
    <w:tblStylePr w:type="firstRow">
      <w:rPr>
        <w:rFonts w:asciiTheme="majorHAnsi" w:eastAsiaTheme="majorEastAsia" w:hAnsiTheme="majorHAnsi" w:cstheme="majorBidi"/>
      </w:rPr>
      <w:tblPr/>
      <w:tcPr>
        <w:tcBorders>
          <w:top w:val="nil"/>
          <w:bottom w:val="single" w:sz="8" w:space="0" w:color="88E5BD" w:themeColor="accent1"/>
        </w:tcBorders>
      </w:tcPr>
    </w:tblStylePr>
    <w:tblStylePr w:type="lastRow">
      <w:rPr>
        <w:b/>
        <w:bCs/>
        <w:color w:val="FC515B" w:themeColor="text2"/>
      </w:rPr>
      <w:tblPr/>
      <w:tcPr>
        <w:tcBorders>
          <w:top w:val="single" w:sz="8" w:space="0" w:color="88E5BD" w:themeColor="accent1"/>
          <w:bottom w:val="single" w:sz="8" w:space="0" w:color="88E5BD" w:themeColor="accent1"/>
        </w:tcBorders>
      </w:tcPr>
    </w:tblStylePr>
    <w:tblStylePr w:type="firstCol">
      <w:rPr>
        <w:b/>
        <w:bCs/>
      </w:rPr>
    </w:tblStylePr>
    <w:tblStylePr w:type="lastCol">
      <w:rPr>
        <w:b/>
        <w:bCs/>
      </w:rPr>
      <w:tblPr/>
      <w:tcPr>
        <w:tcBorders>
          <w:top w:val="single" w:sz="8" w:space="0" w:color="88E5BD" w:themeColor="accent1"/>
          <w:bottom w:val="single" w:sz="8" w:space="0" w:color="88E5BD" w:themeColor="accent1"/>
        </w:tcBorders>
      </w:tcPr>
    </w:tblStylePr>
    <w:tblStylePr w:type="band1Vert">
      <w:tblPr/>
      <w:tcPr>
        <w:shd w:val="clear" w:color="auto" w:fill="E1F8EE" w:themeFill="accent1" w:themeFillTint="3F"/>
      </w:tcPr>
    </w:tblStylePr>
    <w:tblStylePr w:type="band1Horz">
      <w:tblPr/>
      <w:tcPr>
        <w:shd w:val="clear" w:color="auto" w:fill="E1F8EE" w:themeFill="accent1" w:themeFillTint="3F"/>
      </w:tcPr>
    </w:tblStylePr>
  </w:style>
  <w:style w:type="table" w:styleId="MediumList1Accent2">
    <w:name w:val="Medium List 1 Accent 2"/>
    <w:basedOn w:val="TableNormal"/>
    <w:uiPriority w:val="65"/>
    <w:semiHidden/>
    <w:rsid w:val="000141F7"/>
    <w:rPr>
      <w:color w:val="303030" w:themeColor="text1"/>
    </w:rPr>
    <w:tblPr>
      <w:tblStyleRowBandSize w:val="1"/>
      <w:tblStyleColBandSize w:val="1"/>
      <w:tblBorders>
        <w:top w:val="single" w:sz="8" w:space="0" w:color="53C2E5" w:themeColor="accent2"/>
        <w:bottom w:val="single" w:sz="8" w:space="0" w:color="53C2E5" w:themeColor="accent2"/>
      </w:tblBorders>
    </w:tblPr>
    <w:tblStylePr w:type="firstRow">
      <w:rPr>
        <w:rFonts w:asciiTheme="majorHAnsi" w:eastAsiaTheme="majorEastAsia" w:hAnsiTheme="majorHAnsi" w:cstheme="majorBidi"/>
      </w:rPr>
      <w:tblPr/>
      <w:tcPr>
        <w:tcBorders>
          <w:top w:val="nil"/>
          <w:bottom w:val="single" w:sz="8" w:space="0" w:color="53C2E5" w:themeColor="accent2"/>
        </w:tcBorders>
      </w:tcPr>
    </w:tblStylePr>
    <w:tblStylePr w:type="lastRow">
      <w:rPr>
        <w:b/>
        <w:bCs/>
        <w:color w:val="FC515B" w:themeColor="text2"/>
      </w:rPr>
      <w:tblPr/>
      <w:tcPr>
        <w:tcBorders>
          <w:top w:val="single" w:sz="8" w:space="0" w:color="53C2E5" w:themeColor="accent2"/>
          <w:bottom w:val="single" w:sz="8" w:space="0" w:color="53C2E5" w:themeColor="accent2"/>
        </w:tcBorders>
      </w:tcPr>
    </w:tblStylePr>
    <w:tblStylePr w:type="firstCol">
      <w:rPr>
        <w:b/>
        <w:bCs/>
      </w:rPr>
    </w:tblStylePr>
    <w:tblStylePr w:type="lastCol">
      <w:rPr>
        <w:b/>
        <w:bCs/>
      </w:rPr>
      <w:tblPr/>
      <w:tcPr>
        <w:tcBorders>
          <w:top w:val="single" w:sz="8" w:space="0" w:color="53C2E5" w:themeColor="accent2"/>
          <w:bottom w:val="single" w:sz="8" w:space="0" w:color="53C2E5" w:themeColor="accent2"/>
        </w:tcBorders>
      </w:tcPr>
    </w:tblStylePr>
    <w:tblStylePr w:type="band1Vert">
      <w:tblPr/>
      <w:tcPr>
        <w:shd w:val="clear" w:color="auto" w:fill="D4EFF8" w:themeFill="accent2" w:themeFillTint="3F"/>
      </w:tcPr>
    </w:tblStylePr>
    <w:tblStylePr w:type="band1Horz">
      <w:tblPr/>
      <w:tcPr>
        <w:shd w:val="clear" w:color="auto" w:fill="D4EFF8" w:themeFill="accent2" w:themeFillTint="3F"/>
      </w:tcPr>
    </w:tblStylePr>
  </w:style>
  <w:style w:type="table" w:styleId="MediumList1Accent3">
    <w:name w:val="Medium List 1 Accent 3"/>
    <w:basedOn w:val="TableNormal"/>
    <w:uiPriority w:val="65"/>
    <w:semiHidden/>
    <w:rsid w:val="000141F7"/>
    <w:rPr>
      <w:color w:val="303030" w:themeColor="text1"/>
    </w:rPr>
    <w:tblPr>
      <w:tblStyleRowBandSize w:val="1"/>
      <w:tblStyleColBandSize w:val="1"/>
      <w:tblBorders>
        <w:top w:val="single" w:sz="8" w:space="0" w:color="8996F4" w:themeColor="accent3"/>
        <w:bottom w:val="single" w:sz="8" w:space="0" w:color="8996F4" w:themeColor="accent3"/>
      </w:tblBorders>
    </w:tblPr>
    <w:tblStylePr w:type="firstRow">
      <w:rPr>
        <w:rFonts w:asciiTheme="majorHAnsi" w:eastAsiaTheme="majorEastAsia" w:hAnsiTheme="majorHAnsi" w:cstheme="majorBidi"/>
      </w:rPr>
      <w:tblPr/>
      <w:tcPr>
        <w:tcBorders>
          <w:top w:val="nil"/>
          <w:bottom w:val="single" w:sz="8" w:space="0" w:color="8996F4" w:themeColor="accent3"/>
        </w:tcBorders>
      </w:tcPr>
    </w:tblStylePr>
    <w:tblStylePr w:type="lastRow">
      <w:rPr>
        <w:b/>
        <w:bCs/>
        <w:color w:val="FC515B" w:themeColor="text2"/>
      </w:rPr>
      <w:tblPr/>
      <w:tcPr>
        <w:tcBorders>
          <w:top w:val="single" w:sz="8" w:space="0" w:color="8996F4" w:themeColor="accent3"/>
          <w:bottom w:val="single" w:sz="8" w:space="0" w:color="8996F4" w:themeColor="accent3"/>
        </w:tcBorders>
      </w:tcPr>
    </w:tblStylePr>
    <w:tblStylePr w:type="firstCol">
      <w:rPr>
        <w:b/>
        <w:bCs/>
      </w:rPr>
    </w:tblStylePr>
    <w:tblStylePr w:type="lastCol">
      <w:rPr>
        <w:b/>
        <w:bCs/>
      </w:rPr>
      <w:tblPr/>
      <w:tcPr>
        <w:tcBorders>
          <w:top w:val="single" w:sz="8" w:space="0" w:color="8996F4" w:themeColor="accent3"/>
          <w:bottom w:val="single" w:sz="8" w:space="0" w:color="8996F4" w:themeColor="accent3"/>
        </w:tcBorders>
      </w:tcPr>
    </w:tblStylePr>
    <w:tblStylePr w:type="band1Vert">
      <w:tblPr/>
      <w:tcPr>
        <w:shd w:val="clear" w:color="auto" w:fill="E1E4FC" w:themeFill="accent3" w:themeFillTint="3F"/>
      </w:tcPr>
    </w:tblStylePr>
    <w:tblStylePr w:type="band1Horz">
      <w:tblPr/>
      <w:tcPr>
        <w:shd w:val="clear" w:color="auto" w:fill="E1E4FC" w:themeFill="accent3" w:themeFillTint="3F"/>
      </w:tcPr>
    </w:tblStylePr>
  </w:style>
  <w:style w:type="table" w:styleId="MediumList1Accent4">
    <w:name w:val="Medium List 1 Accent 4"/>
    <w:basedOn w:val="TableNormal"/>
    <w:uiPriority w:val="65"/>
    <w:semiHidden/>
    <w:rsid w:val="000141F7"/>
    <w:rPr>
      <w:color w:val="303030" w:themeColor="text1"/>
    </w:rPr>
    <w:tblPr>
      <w:tblStyleRowBandSize w:val="1"/>
      <w:tblStyleColBandSize w:val="1"/>
      <w:tblBorders>
        <w:top w:val="single" w:sz="8" w:space="0" w:color="EAA4EA" w:themeColor="accent4"/>
        <w:bottom w:val="single" w:sz="8" w:space="0" w:color="EAA4EA" w:themeColor="accent4"/>
      </w:tblBorders>
    </w:tblPr>
    <w:tblStylePr w:type="firstRow">
      <w:rPr>
        <w:rFonts w:asciiTheme="majorHAnsi" w:eastAsiaTheme="majorEastAsia" w:hAnsiTheme="majorHAnsi" w:cstheme="majorBidi"/>
      </w:rPr>
      <w:tblPr/>
      <w:tcPr>
        <w:tcBorders>
          <w:top w:val="nil"/>
          <w:bottom w:val="single" w:sz="8" w:space="0" w:color="EAA4EA" w:themeColor="accent4"/>
        </w:tcBorders>
      </w:tcPr>
    </w:tblStylePr>
    <w:tblStylePr w:type="lastRow">
      <w:rPr>
        <w:b/>
        <w:bCs/>
        <w:color w:val="FC515B" w:themeColor="text2"/>
      </w:rPr>
      <w:tblPr/>
      <w:tcPr>
        <w:tcBorders>
          <w:top w:val="single" w:sz="8" w:space="0" w:color="EAA4EA" w:themeColor="accent4"/>
          <w:bottom w:val="single" w:sz="8" w:space="0" w:color="EAA4EA" w:themeColor="accent4"/>
        </w:tcBorders>
      </w:tcPr>
    </w:tblStylePr>
    <w:tblStylePr w:type="firstCol">
      <w:rPr>
        <w:b/>
        <w:bCs/>
      </w:rPr>
    </w:tblStylePr>
    <w:tblStylePr w:type="lastCol">
      <w:rPr>
        <w:b/>
        <w:bCs/>
      </w:rPr>
      <w:tblPr/>
      <w:tcPr>
        <w:tcBorders>
          <w:top w:val="single" w:sz="8" w:space="0" w:color="EAA4EA" w:themeColor="accent4"/>
          <w:bottom w:val="single" w:sz="8" w:space="0" w:color="EAA4EA" w:themeColor="accent4"/>
        </w:tcBorders>
      </w:tcPr>
    </w:tblStylePr>
    <w:tblStylePr w:type="band1Vert">
      <w:tblPr/>
      <w:tcPr>
        <w:shd w:val="clear" w:color="auto" w:fill="F9E8F9" w:themeFill="accent4" w:themeFillTint="3F"/>
      </w:tcPr>
    </w:tblStylePr>
    <w:tblStylePr w:type="band1Horz">
      <w:tblPr/>
      <w:tcPr>
        <w:shd w:val="clear" w:color="auto" w:fill="F9E8F9" w:themeFill="accent4" w:themeFillTint="3F"/>
      </w:tcPr>
    </w:tblStylePr>
  </w:style>
  <w:style w:type="table" w:styleId="MediumList1Accent5">
    <w:name w:val="Medium List 1 Accent 5"/>
    <w:basedOn w:val="TableNormal"/>
    <w:uiPriority w:val="65"/>
    <w:semiHidden/>
    <w:rsid w:val="000141F7"/>
    <w:rPr>
      <w:color w:val="303030" w:themeColor="text1"/>
    </w:rPr>
    <w:tblPr>
      <w:tblStyleRowBandSize w:val="1"/>
      <w:tblStyleColBandSize w:val="1"/>
      <w:tblBorders>
        <w:top w:val="single" w:sz="8" w:space="0" w:color="FD969C" w:themeColor="accent5"/>
        <w:bottom w:val="single" w:sz="8" w:space="0" w:color="FD969C" w:themeColor="accent5"/>
      </w:tblBorders>
    </w:tblPr>
    <w:tblStylePr w:type="firstRow">
      <w:rPr>
        <w:rFonts w:asciiTheme="majorHAnsi" w:eastAsiaTheme="majorEastAsia" w:hAnsiTheme="majorHAnsi" w:cstheme="majorBidi"/>
      </w:rPr>
      <w:tblPr/>
      <w:tcPr>
        <w:tcBorders>
          <w:top w:val="nil"/>
          <w:bottom w:val="single" w:sz="8" w:space="0" w:color="FD969C" w:themeColor="accent5"/>
        </w:tcBorders>
      </w:tcPr>
    </w:tblStylePr>
    <w:tblStylePr w:type="lastRow">
      <w:rPr>
        <w:b/>
        <w:bCs/>
        <w:color w:val="FC515B" w:themeColor="text2"/>
      </w:rPr>
      <w:tblPr/>
      <w:tcPr>
        <w:tcBorders>
          <w:top w:val="single" w:sz="8" w:space="0" w:color="FD969C" w:themeColor="accent5"/>
          <w:bottom w:val="single" w:sz="8" w:space="0" w:color="FD969C" w:themeColor="accent5"/>
        </w:tcBorders>
      </w:tcPr>
    </w:tblStylePr>
    <w:tblStylePr w:type="firstCol">
      <w:rPr>
        <w:b/>
        <w:bCs/>
      </w:rPr>
    </w:tblStylePr>
    <w:tblStylePr w:type="lastCol">
      <w:rPr>
        <w:b/>
        <w:bCs/>
      </w:rPr>
      <w:tblPr/>
      <w:tcPr>
        <w:tcBorders>
          <w:top w:val="single" w:sz="8" w:space="0" w:color="FD969C" w:themeColor="accent5"/>
          <w:bottom w:val="single" w:sz="8" w:space="0" w:color="FD969C" w:themeColor="accent5"/>
        </w:tcBorders>
      </w:tcPr>
    </w:tblStylePr>
    <w:tblStylePr w:type="band1Vert">
      <w:tblPr/>
      <w:tcPr>
        <w:shd w:val="clear" w:color="auto" w:fill="FEE4E6" w:themeFill="accent5" w:themeFillTint="3F"/>
      </w:tcPr>
    </w:tblStylePr>
    <w:tblStylePr w:type="band1Horz">
      <w:tblPr/>
      <w:tcPr>
        <w:shd w:val="clear" w:color="auto" w:fill="FEE4E6" w:themeFill="accent5" w:themeFillTint="3F"/>
      </w:tcPr>
    </w:tblStylePr>
  </w:style>
  <w:style w:type="table" w:styleId="MediumList1Accent6">
    <w:name w:val="Medium List 1 Accent 6"/>
    <w:basedOn w:val="TableNormal"/>
    <w:uiPriority w:val="65"/>
    <w:semiHidden/>
    <w:rsid w:val="000141F7"/>
    <w:rPr>
      <w:color w:val="303030" w:themeColor="text1"/>
    </w:rPr>
    <w:tblPr>
      <w:tblStyleRowBandSize w:val="1"/>
      <w:tblStyleColBandSize w:val="1"/>
      <w:tblBorders>
        <w:top w:val="single" w:sz="8" w:space="0" w:color="B7EFD7" w:themeColor="accent6"/>
        <w:bottom w:val="single" w:sz="8" w:space="0" w:color="B7EFD7" w:themeColor="accent6"/>
      </w:tblBorders>
    </w:tblPr>
    <w:tblStylePr w:type="firstRow">
      <w:rPr>
        <w:rFonts w:asciiTheme="majorHAnsi" w:eastAsiaTheme="majorEastAsia" w:hAnsiTheme="majorHAnsi" w:cstheme="majorBidi"/>
      </w:rPr>
      <w:tblPr/>
      <w:tcPr>
        <w:tcBorders>
          <w:top w:val="nil"/>
          <w:bottom w:val="single" w:sz="8" w:space="0" w:color="B7EFD7" w:themeColor="accent6"/>
        </w:tcBorders>
      </w:tcPr>
    </w:tblStylePr>
    <w:tblStylePr w:type="lastRow">
      <w:rPr>
        <w:b/>
        <w:bCs/>
        <w:color w:val="FC515B" w:themeColor="text2"/>
      </w:rPr>
      <w:tblPr/>
      <w:tcPr>
        <w:tcBorders>
          <w:top w:val="single" w:sz="8" w:space="0" w:color="B7EFD7" w:themeColor="accent6"/>
          <w:bottom w:val="single" w:sz="8" w:space="0" w:color="B7EFD7" w:themeColor="accent6"/>
        </w:tcBorders>
      </w:tcPr>
    </w:tblStylePr>
    <w:tblStylePr w:type="firstCol">
      <w:rPr>
        <w:b/>
        <w:bCs/>
      </w:rPr>
    </w:tblStylePr>
    <w:tblStylePr w:type="lastCol">
      <w:rPr>
        <w:b/>
        <w:bCs/>
      </w:rPr>
      <w:tblPr/>
      <w:tcPr>
        <w:tcBorders>
          <w:top w:val="single" w:sz="8" w:space="0" w:color="B7EFD7" w:themeColor="accent6"/>
          <w:bottom w:val="single" w:sz="8" w:space="0" w:color="B7EFD7" w:themeColor="accent6"/>
        </w:tcBorders>
      </w:tcPr>
    </w:tblStylePr>
    <w:tblStylePr w:type="band1Vert">
      <w:tblPr/>
      <w:tcPr>
        <w:shd w:val="clear" w:color="auto" w:fill="EDFBF4" w:themeFill="accent6" w:themeFillTint="3F"/>
      </w:tcPr>
    </w:tblStylePr>
    <w:tblStylePr w:type="band1Horz">
      <w:tblPr/>
      <w:tcPr>
        <w:shd w:val="clear" w:color="auto" w:fill="EDFBF4" w:themeFill="accent6" w:themeFillTint="3F"/>
      </w:tcPr>
    </w:tblStylePr>
  </w:style>
  <w:style w:type="table" w:styleId="MediumList2">
    <w:name w:val="Medium List 2"/>
    <w:basedOn w:val="TableNormal"/>
    <w:uiPriority w:val="66"/>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rPr>
        <w:sz w:val="24"/>
        <w:szCs w:val="24"/>
      </w:rPr>
      <w:tblPr/>
      <w:tcPr>
        <w:tcBorders>
          <w:top w:val="nil"/>
          <w:left w:val="nil"/>
          <w:bottom w:val="single" w:sz="24" w:space="0" w:color="303030" w:themeColor="text1"/>
          <w:right w:val="nil"/>
          <w:insideH w:val="nil"/>
          <w:insideV w:val="nil"/>
        </w:tcBorders>
        <w:shd w:val="clear" w:color="auto" w:fill="FFFFFF" w:themeFill="background1"/>
      </w:tcPr>
    </w:tblStylePr>
    <w:tblStylePr w:type="lastRow">
      <w:tblPr/>
      <w:tcPr>
        <w:tcBorders>
          <w:top w:val="single" w:sz="8" w:space="0" w:color="30303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3030" w:themeColor="text1"/>
          <w:insideH w:val="nil"/>
          <w:insideV w:val="nil"/>
        </w:tcBorders>
        <w:shd w:val="clear" w:color="auto" w:fill="FFFFFF" w:themeFill="background1"/>
      </w:tcPr>
    </w:tblStylePr>
    <w:tblStylePr w:type="lastCol">
      <w:tblPr/>
      <w:tcPr>
        <w:tcBorders>
          <w:top w:val="nil"/>
          <w:left w:val="single" w:sz="8" w:space="0" w:color="30303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top w:val="nil"/>
          <w:bottom w:val="nil"/>
          <w:insideH w:val="nil"/>
          <w:insideV w:val="nil"/>
        </w:tcBorders>
        <w:shd w:val="clear" w:color="auto" w:fill="CBCBC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tblBorders>
    </w:tblPr>
    <w:tblStylePr w:type="firstRow">
      <w:rPr>
        <w:sz w:val="24"/>
        <w:szCs w:val="24"/>
      </w:rPr>
      <w:tblPr/>
      <w:tcPr>
        <w:tcBorders>
          <w:top w:val="nil"/>
          <w:left w:val="nil"/>
          <w:bottom w:val="single" w:sz="24" w:space="0" w:color="88E5BD" w:themeColor="accent1"/>
          <w:right w:val="nil"/>
          <w:insideH w:val="nil"/>
          <w:insideV w:val="nil"/>
        </w:tcBorders>
        <w:shd w:val="clear" w:color="auto" w:fill="FFFFFF" w:themeFill="background1"/>
      </w:tcPr>
    </w:tblStylePr>
    <w:tblStylePr w:type="lastRow">
      <w:tblPr/>
      <w:tcPr>
        <w:tcBorders>
          <w:top w:val="single" w:sz="8" w:space="0" w:color="88E5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E5BD" w:themeColor="accent1"/>
          <w:insideH w:val="nil"/>
          <w:insideV w:val="nil"/>
        </w:tcBorders>
        <w:shd w:val="clear" w:color="auto" w:fill="FFFFFF" w:themeFill="background1"/>
      </w:tcPr>
    </w:tblStylePr>
    <w:tblStylePr w:type="lastCol">
      <w:tblPr/>
      <w:tcPr>
        <w:tcBorders>
          <w:top w:val="nil"/>
          <w:left w:val="single" w:sz="8" w:space="0" w:color="88E5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8EE" w:themeFill="accent1" w:themeFillTint="3F"/>
      </w:tcPr>
    </w:tblStylePr>
    <w:tblStylePr w:type="band1Horz">
      <w:tblPr/>
      <w:tcPr>
        <w:tcBorders>
          <w:top w:val="nil"/>
          <w:bottom w:val="nil"/>
          <w:insideH w:val="nil"/>
          <w:insideV w:val="nil"/>
        </w:tcBorders>
        <w:shd w:val="clear" w:color="auto" w:fill="E1F8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tblBorders>
    </w:tblPr>
    <w:tblStylePr w:type="firstRow">
      <w:rPr>
        <w:sz w:val="24"/>
        <w:szCs w:val="24"/>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tblPr/>
      <w:tcPr>
        <w:tcBorders>
          <w:top w:val="single" w:sz="8" w:space="0" w:color="53C2E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C2E5" w:themeColor="accent2"/>
          <w:insideH w:val="nil"/>
          <w:insideV w:val="nil"/>
        </w:tcBorders>
        <w:shd w:val="clear" w:color="auto" w:fill="FFFFFF" w:themeFill="background1"/>
      </w:tcPr>
    </w:tblStylePr>
    <w:tblStylePr w:type="lastCol">
      <w:tblPr/>
      <w:tcPr>
        <w:tcBorders>
          <w:top w:val="nil"/>
          <w:left w:val="single" w:sz="8" w:space="0" w:color="53C2E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FF8" w:themeFill="accent2" w:themeFillTint="3F"/>
      </w:tcPr>
    </w:tblStylePr>
    <w:tblStylePr w:type="band1Horz">
      <w:tblPr/>
      <w:tcPr>
        <w:tcBorders>
          <w:top w:val="nil"/>
          <w:bottom w:val="nil"/>
          <w:insideH w:val="nil"/>
          <w:insideV w:val="nil"/>
        </w:tcBorders>
        <w:shd w:val="clear" w:color="auto" w:fill="D4EF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tblBorders>
    </w:tblPr>
    <w:tblStylePr w:type="firstRow">
      <w:rPr>
        <w:sz w:val="24"/>
        <w:szCs w:val="24"/>
      </w:rPr>
      <w:tblPr/>
      <w:tcPr>
        <w:tcBorders>
          <w:top w:val="nil"/>
          <w:left w:val="nil"/>
          <w:bottom w:val="single" w:sz="24" w:space="0" w:color="8996F4" w:themeColor="accent3"/>
          <w:right w:val="nil"/>
          <w:insideH w:val="nil"/>
          <w:insideV w:val="nil"/>
        </w:tcBorders>
        <w:shd w:val="clear" w:color="auto" w:fill="FFFFFF" w:themeFill="background1"/>
      </w:tcPr>
    </w:tblStylePr>
    <w:tblStylePr w:type="lastRow">
      <w:tblPr/>
      <w:tcPr>
        <w:tcBorders>
          <w:top w:val="single" w:sz="8" w:space="0" w:color="8996F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96F4" w:themeColor="accent3"/>
          <w:insideH w:val="nil"/>
          <w:insideV w:val="nil"/>
        </w:tcBorders>
        <w:shd w:val="clear" w:color="auto" w:fill="FFFFFF" w:themeFill="background1"/>
      </w:tcPr>
    </w:tblStylePr>
    <w:tblStylePr w:type="lastCol">
      <w:tblPr/>
      <w:tcPr>
        <w:tcBorders>
          <w:top w:val="nil"/>
          <w:left w:val="single" w:sz="8" w:space="0" w:color="8996F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4FC" w:themeFill="accent3" w:themeFillTint="3F"/>
      </w:tcPr>
    </w:tblStylePr>
    <w:tblStylePr w:type="band1Horz">
      <w:tblPr/>
      <w:tcPr>
        <w:tcBorders>
          <w:top w:val="nil"/>
          <w:bottom w:val="nil"/>
          <w:insideH w:val="nil"/>
          <w:insideV w:val="nil"/>
        </w:tcBorders>
        <w:shd w:val="clear" w:color="auto" w:fill="E1E4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tblBorders>
    </w:tblPr>
    <w:tblStylePr w:type="firstRow">
      <w:rPr>
        <w:sz w:val="24"/>
        <w:szCs w:val="24"/>
      </w:rPr>
      <w:tblPr/>
      <w:tcPr>
        <w:tcBorders>
          <w:top w:val="nil"/>
          <w:left w:val="nil"/>
          <w:bottom w:val="single" w:sz="24" w:space="0" w:color="EAA4EA" w:themeColor="accent4"/>
          <w:right w:val="nil"/>
          <w:insideH w:val="nil"/>
          <w:insideV w:val="nil"/>
        </w:tcBorders>
        <w:shd w:val="clear" w:color="auto" w:fill="FFFFFF" w:themeFill="background1"/>
      </w:tcPr>
    </w:tblStylePr>
    <w:tblStylePr w:type="lastRow">
      <w:tblPr/>
      <w:tcPr>
        <w:tcBorders>
          <w:top w:val="single" w:sz="8" w:space="0" w:color="EAA4E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A4EA" w:themeColor="accent4"/>
          <w:insideH w:val="nil"/>
          <w:insideV w:val="nil"/>
        </w:tcBorders>
        <w:shd w:val="clear" w:color="auto" w:fill="FFFFFF" w:themeFill="background1"/>
      </w:tcPr>
    </w:tblStylePr>
    <w:tblStylePr w:type="lastCol">
      <w:tblPr/>
      <w:tcPr>
        <w:tcBorders>
          <w:top w:val="nil"/>
          <w:left w:val="single" w:sz="8" w:space="0" w:color="EAA4E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8F9" w:themeFill="accent4" w:themeFillTint="3F"/>
      </w:tcPr>
    </w:tblStylePr>
    <w:tblStylePr w:type="band1Horz">
      <w:tblPr/>
      <w:tcPr>
        <w:tcBorders>
          <w:top w:val="nil"/>
          <w:bottom w:val="nil"/>
          <w:insideH w:val="nil"/>
          <w:insideV w:val="nil"/>
        </w:tcBorders>
        <w:shd w:val="clear" w:color="auto" w:fill="F9E8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tblBorders>
    </w:tblPr>
    <w:tblStylePr w:type="firstRow">
      <w:rPr>
        <w:sz w:val="24"/>
        <w:szCs w:val="24"/>
      </w:rPr>
      <w:tblPr/>
      <w:tcPr>
        <w:tcBorders>
          <w:top w:val="nil"/>
          <w:left w:val="nil"/>
          <w:bottom w:val="single" w:sz="24" w:space="0" w:color="FD969C" w:themeColor="accent5"/>
          <w:right w:val="nil"/>
          <w:insideH w:val="nil"/>
          <w:insideV w:val="nil"/>
        </w:tcBorders>
        <w:shd w:val="clear" w:color="auto" w:fill="FFFFFF" w:themeFill="background1"/>
      </w:tcPr>
    </w:tblStylePr>
    <w:tblStylePr w:type="lastRow">
      <w:tblPr/>
      <w:tcPr>
        <w:tcBorders>
          <w:top w:val="single" w:sz="8" w:space="0" w:color="FD969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969C" w:themeColor="accent5"/>
          <w:insideH w:val="nil"/>
          <w:insideV w:val="nil"/>
        </w:tcBorders>
        <w:shd w:val="clear" w:color="auto" w:fill="FFFFFF" w:themeFill="background1"/>
      </w:tcPr>
    </w:tblStylePr>
    <w:tblStylePr w:type="lastCol">
      <w:tblPr/>
      <w:tcPr>
        <w:tcBorders>
          <w:top w:val="nil"/>
          <w:left w:val="single" w:sz="8" w:space="0" w:color="FD969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4E6" w:themeFill="accent5" w:themeFillTint="3F"/>
      </w:tcPr>
    </w:tblStylePr>
    <w:tblStylePr w:type="band1Horz">
      <w:tblPr/>
      <w:tcPr>
        <w:tcBorders>
          <w:top w:val="nil"/>
          <w:bottom w:val="nil"/>
          <w:insideH w:val="nil"/>
          <w:insideV w:val="nil"/>
        </w:tcBorders>
        <w:shd w:val="clear" w:color="auto" w:fill="FEE4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0141F7"/>
    <w:rPr>
      <w:rFonts w:asciiTheme="majorHAnsi" w:eastAsiaTheme="majorEastAsia" w:hAnsiTheme="majorHAnsi" w:cstheme="majorBidi"/>
      <w:color w:val="303030" w:themeColor="text1"/>
    </w:rPr>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tblBorders>
    </w:tblPr>
    <w:tblStylePr w:type="firstRow">
      <w:rPr>
        <w:sz w:val="24"/>
        <w:szCs w:val="24"/>
      </w:rPr>
      <w:tblPr/>
      <w:tcPr>
        <w:tcBorders>
          <w:top w:val="nil"/>
          <w:left w:val="nil"/>
          <w:bottom w:val="single" w:sz="24" w:space="0" w:color="B7EFD7" w:themeColor="accent6"/>
          <w:right w:val="nil"/>
          <w:insideH w:val="nil"/>
          <w:insideV w:val="nil"/>
        </w:tcBorders>
        <w:shd w:val="clear" w:color="auto" w:fill="FFFFFF" w:themeFill="background1"/>
      </w:tcPr>
    </w:tblStylePr>
    <w:tblStylePr w:type="lastRow">
      <w:tblPr/>
      <w:tcPr>
        <w:tcBorders>
          <w:top w:val="single" w:sz="8" w:space="0" w:color="B7EF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EFD7" w:themeColor="accent6"/>
          <w:insideH w:val="nil"/>
          <w:insideV w:val="nil"/>
        </w:tcBorders>
        <w:shd w:val="clear" w:color="auto" w:fill="FFFFFF" w:themeFill="background1"/>
      </w:tcPr>
    </w:tblStylePr>
    <w:tblStylePr w:type="lastCol">
      <w:tblPr/>
      <w:tcPr>
        <w:tcBorders>
          <w:top w:val="nil"/>
          <w:left w:val="single" w:sz="8" w:space="0" w:color="B7EF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top w:val="nil"/>
          <w:bottom w:val="nil"/>
          <w:insideH w:val="nil"/>
          <w:insideV w:val="nil"/>
        </w:tcBorders>
        <w:shd w:val="clear" w:color="auto" w:fill="EDFB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0141F7"/>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tblBorders>
    </w:tblPr>
    <w:tblStylePr w:type="firstRow">
      <w:pPr>
        <w:spacing w:before="0" w:after="0" w:line="240" w:lineRule="auto"/>
      </w:pPr>
      <w:rPr>
        <w:b/>
        <w:bCs/>
        <w:color w:val="FFFFFF" w:themeColor="background1"/>
      </w:rPr>
      <w:tblPr/>
      <w:tcPr>
        <w:tc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shd w:val="clear" w:color="auto" w:fill="303030" w:themeFill="text1"/>
      </w:tcPr>
    </w:tblStylePr>
    <w:tblStylePr w:type="lastRow">
      <w:pPr>
        <w:spacing w:before="0" w:after="0" w:line="240" w:lineRule="auto"/>
      </w:pPr>
      <w:rPr>
        <w:b/>
        <w:bCs/>
      </w:rPr>
      <w:tblPr/>
      <w:tcPr>
        <w:tcBorders>
          <w:top w:val="double" w:sz="6"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141F7"/>
    <w:tblPr>
      <w:tblStyleRowBandSize w:val="1"/>
      <w:tblStyleColBandSize w:val="1"/>
      <w:tblBorders>
        <w:top w:val="single" w:sz="8"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single" w:sz="8" w:space="0" w:color="A5EBCD" w:themeColor="accent1" w:themeTint="BF"/>
      </w:tblBorders>
    </w:tblPr>
    <w:tblStylePr w:type="firstRow">
      <w:pPr>
        <w:spacing w:before="0" w:after="0" w:line="240" w:lineRule="auto"/>
      </w:pPr>
      <w:rPr>
        <w:b/>
        <w:bCs/>
        <w:color w:val="FFFFFF" w:themeColor="background1"/>
      </w:rPr>
      <w:tblPr/>
      <w:tcPr>
        <w:tcBorders>
          <w:top w:val="single" w:sz="8"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nil"/>
          <w:insideV w:val="nil"/>
        </w:tcBorders>
        <w:shd w:val="clear" w:color="auto" w:fill="88E5BD" w:themeFill="accent1"/>
      </w:tcPr>
    </w:tblStylePr>
    <w:tblStylePr w:type="lastRow">
      <w:pPr>
        <w:spacing w:before="0" w:after="0" w:line="240" w:lineRule="auto"/>
      </w:pPr>
      <w:rPr>
        <w:b/>
        <w:bCs/>
      </w:rPr>
      <w:tblPr/>
      <w:tcPr>
        <w:tcBorders>
          <w:top w:val="double" w:sz="6"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8EE" w:themeFill="accent1" w:themeFillTint="3F"/>
      </w:tcPr>
    </w:tblStylePr>
    <w:tblStylePr w:type="band1Horz">
      <w:tblPr/>
      <w:tcPr>
        <w:tcBorders>
          <w:insideH w:val="nil"/>
          <w:insideV w:val="nil"/>
        </w:tcBorders>
        <w:shd w:val="clear" w:color="auto" w:fill="E1F8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0141F7"/>
    <w:tblPr>
      <w:tblStyleRowBandSize w:val="1"/>
      <w:tblStyleColBandSize w:val="1"/>
      <w:tblBorders>
        <w:top w:val="single" w:sz="8"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single" w:sz="8" w:space="0" w:color="7ED1EB" w:themeColor="accent2" w:themeTint="BF"/>
      </w:tblBorders>
    </w:tblPr>
    <w:tblStylePr w:type="firstRow">
      <w:pPr>
        <w:spacing w:before="0" w:after="0" w:line="240" w:lineRule="auto"/>
      </w:pPr>
      <w:rPr>
        <w:b/>
        <w:bCs/>
        <w:color w:val="FFFFFF" w:themeColor="background1"/>
      </w:rPr>
      <w:tblPr/>
      <w:tcPr>
        <w:tcBorders>
          <w:top w:val="single" w:sz="8"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nil"/>
          <w:insideV w:val="nil"/>
        </w:tcBorders>
        <w:shd w:val="clear" w:color="auto" w:fill="53C2E5" w:themeFill="accent2"/>
      </w:tcPr>
    </w:tblStylePr>
    <w:tblStylePr w:type="lastRow">
      <w:pPr>
        <w:spacing w:before="0" w:after="0" w:line="240" w:lineRule="auto"/>
      </w:pPr>
      <w:rPr>
        <w:b/>
        <w:bCs/>
      </w:rPr>
      <w:tblPr/>
      <w:tcPr>
        <w:tcBorders>
          <w:top w:val="double" w:sz="6"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FF8" w:themeFill="accent2" w:themeFillTint="3F"/>
      </w:tcPr>
    </w:tblStylePr>
    <w:tblStylePr w:type="band1Horz">
      <w:tblPr/>
      <w:tcPr>
        <w:tcBorders>
          <w:insideH w:val="nil"/>
          <w:insideV w:val="nil"/>
        </w:tcBorders>
        <w:shd w:val="clear" w:color="auto" w:fill="D4EF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0141F7"/>
    <w:tblPr>
      <w:tblStyleRowBandSize w:val="1"/>
      <w:tblStyleColBandSize w:val="1"/>
      <w:tblBorders>
        <w:top w:val="single" w:sz="8"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single" w:sz="8" w:space="0" w:color="A6AFF6" w:themeColor="accent3" w:themeTint="BF"/>
      </w:tblBorders>
    </w:tblPr>
    <w:tblStylePr w:type="firstRow">
      <w:pPr>
        <w:spacing w:before="0" w:after="0" w:line="240" w:lineRule="auto"/>
      </w:pPr>
      <w:rPr>
        <w:b/>
        <w:bCs/>
        <w:color w:val="FFFFFF" w:themeColor="background1"/>
      </w:rPr>
      <w:tblPr/>
      <w:tcPr>
        <w:tcBorders>
          <w:top w:val="single" w:sz="8"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nil"/>
          <w:insideV w:val="nil"/>
        </w:tcBorders>
        <w:shd w:val="clear" w:color="auto" w:fill="8996F4" w:themeFill="accent3"/>
      </w:tcPr>
    </w:tblStylePr>
    <w:tblStylePr w:type="lastRow">
      <w:pPr>
        <w:spacing w:before="0" w:after="0" w:line="240" w:lineRule="auto"/>
      </w:pPr>
      <w:rPr>
        <w:b/>
        <w:bCs/>
      </w:rPr>
      <w:tblPr/>
      <w:tcPr>
        <w:tcBorders>
          <w:top w:val="double" w:sz="6"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4FC" w:themeFill="accent3" w:themeFillTint="3F"/>
      </w:tcPr>
    </w:tblStylePr>
    <w:tblStylePr w:type="band1Horz">
      <w:tblPr/>
      <w:tcPr>
        <w:tcBorders>
          <w:insideH w:val="nil"/>
          <w:insideV w:val="nil"/>
        </w:tcBorders>
        <w:shd w:val="clear" w:color="auto" w:fill="E1E4F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0141F7"/>
    <w:tblPr>
      <w:tblStyleRowBandSize w:val="1"/>
      <w:tblStyleColBandSize w:val="1"/>
      <w:tblBorders>
        <w:top w:val="single" w:sz="8"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single" w:sz="8" w:space="0" w:color="EFBAEF" w:themeColor="accent4" w:themeTint="BF"/>
      </w:tblBorders>
    </w:tblPr>
    <w:tblStylePr w:type="firstRow">
      <w:pPr>
        <w:spacing w:before="0" w:after="0" w:line="240" w:lineRule="auto"/>
      </w:pPr>
      <w:rPr>
        <w:b/>
        <w:bCs/>
        <w:color w:val="FFFFFF" w:themeColor="background1"/>
      </w:rPr>
      <w:tblPr/>
      <w:tcPr>
        <w:tcBorders>
          <w:top w:val="single" w:sz="8"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nil"/>
          <w:insideV w:val="nil"/>
        </w:tcBorders>
        <w:shd w:val="clear" w:color="auto" w:fill="EAA4EA" w:themeFill="accent4"/>
      </w:tcPr>
    </w:tblStylePr>
    <w:tblStylePr w:type="lastRow">
      <w:pPr>
        <w:spacing w:before="0" w:after="0" w:line="240" w:lineRule="auto"/>
      </w:pPr>
      <w:rPr>
        <w:b/>
        <w:bCs/>
      </w:rPr>
      <w:tblPr/>
      <w:tcPr>
        <w:tcBorders>
          <w:top w:val="double" w:sz="6"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8F9" w:themeFill="accent4" w:themeFillTint="3F"/>
      </w:tcPr>
    </w:tblStylePr>
    <w:tblStylePr w:type="band1Horz">
      <w:tblPr/>
      <w:tcPr>
        <w:tcBorders>
          <w:insideH w:val="nil"/>
          <w:insideV w:val="nil"/>
        </w:tcBorders>
        <w:shd w:val="clear" w:color="auto" w:fill="F9E8F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0141F7"/>
    <w:tblPr>
      <w:tblStyleRowBandSize w:val="1"/>
      <w:tblStyleColBandSize w:val="1"/>
      <w:tblBorders>
        <w:top w:val="single" w:sz="8"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single" w:sz="8" w:space="0" w:color="FDB0B4" w:themeColor="accent5" w:themeTint="BF"/>
      </w:tblBorders>
    </w:tblPr>
    <w:tblStylePr w:type="firstRow">
      <w:pPr>
        <w:spacing w:before="0" w:after="0" w:line="240" w:lineRule="auto"/>
      </w:pPr>
      <w:rPr>
        <w:b/>
        <w:bCs/>
        <w:color w:val="FFFFFF" w:themeColor="background1"/>
      </w:rPr>
      <w:tblPr/>
      <w:tcPr>
        <w:tcBorders>
          <w:top w:val="single" w:sz="8"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nil"/>
          <w:insideV w:val="nil"/>
        </w:tcBorders>
        <w:shd w:val="clear" w:color="auto" w:fill="FD969C" w:themeFill="accent5"/>
      </w:tcPr>
    </w:tblStylePr>
    <w:tblStylePr w:type="lastRow">
      <w:pPr>
        <w:spacing w:before="0" w:after="0" w:line="240" w:lineRule="auto"/>
      </w:pPr>
      <w:rPr>
        <w:b/>
        <w:bCs/>
      </w:rPr>
      <w:tblPr/>
      <w:tcPr>
        <w:tcBorders>
          <w:top w:val="double" w:sz="6"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4E6" w:themeFill="accent5" w:themeFillTint="3F"/>
      </w:tcPr>
    </w:tblStylePr>
    <w:tblStylePr w:type="band1Horz">
      <w:tblPr/>
      <w:tcPr>
        <w:tcBorders>
          <w:insideH w:val="nil"/>
          <w:insideV w:val="nil"/>
        </w:tcBorders>
        <w:shd w:val="clear" w:color="auto" w:fill="FEE4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0141F7"/>
    <w:tblPr>
      <w:tblStyleRowBandSize w:val="1"/>
      <w:tblStyleColBandSize w:val="1"/>
      <w:tblBorders>
        <w:top w:val="single" w:sz="8"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single" w:sz="8" w:space="0" w:color="C9F3E0" w:themeColor="accent6" w:themeTint="BF"/>
      </w:tblBorders>
    </w:tblPr>
    <w:tblStylePr w:type="firstRow">
      <w:pPr>
        <w:spacing w:before="0" w:after="0" w:line="240" w:lineRule="auto"/>
      </w:pPr>
      <w:rPr>
        <w:b/>
        <w:bCs/>
        <w:color w:val="FFFFFF" w:themeColor="background1"/>
      </w:rPr>
      <w:tblPr/>
      <w:tcPr>
        <w:tcBorders>
          <w:top w:val="single" w:sz="8"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nil"/>
          <w:insideV w:val="nil"/>
        </w:tcBorders>
        <w:shd w:val="clear" w:color="auto" w:fill="B7EFD7" w:themeFill="accent6"/>
      </w:tcPr>
    </w:tblStylePr>
    <w:tblStylePr w:type="lastRow">
      <w:pPr>
        <w:spacing w:before="0" w:after="0" w:line="240" w:lineRule="auto"/>
      </w:pPr>
      <w:rPr>
        <w:b/>
        <w:bCs/>
      </w:rPr>
      <w:tblPr/>
      <w:tcPr>
        <w:tcBorders>
          <w:top w:val="double" w:sz="6"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BF4" w:themeFill="accent6" w:themeFillTint="3F"/>
      </w:tcPr>
    </w:tblStylePr>
    <w:tblStylePr w:type="band1Horz">
      <w:tblPr/>
      <w:tcPr>
        <w:tcBorders>
          <w:insideH w:val="nil"/>
          <w:insideV w:val="nil"/>
        </w:tcBorders>
        <w:shd w:val="clear" w:color="auto" w:fill="EDFB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141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303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3030" w:themeFill="text1"/>
      </w:tcPr>
    </w:tblStylePr>
    <w:tblStylePr w:type="lastCol">
      <w:rPr>
        <w:b/>
        <w:bCs/>
        <w:color w:val="FFFFFF" w:themeColor="background1"/>
      </w:rPr>
      <w:tblPr/>
      <w:tcPr>
        <w:tcBorders>
          <w:left w:val="nil"/>
          <w:right w:val="nil"/>
          <w:insideH w:val="nil"/>
          <w:insideV w:val="nil"/>
        </w:tcBorders>
        <w:shd w:val="clear" w:color="auto" w:fill="30303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141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E5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E5BD" w:themeFill="accent1"/>
      </w:tcPr>
    </w:tblStylePr>
    <w:tblStylePr w:type="lastCol">
      <w:rPr>
        <w:b/>
        <w:bCs/>
        <w:color w:val="FFFFFF" w:themeColor="background1"/>
      </w:rPr>
      <w:tblPr/>
      <w:tcPr>
        <w:tcBorders>
          <w:left w:val="nil"/>
          <w:right w:val="nil"/>
          <w:insideH w:val="nil"/>
          <w:insideV w:val="nil"/>
        </w:tcBorders>
        <w:shd w:val="clear" w:color="auto" w:fill="88E5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0141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C2E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C2E5" w:themeFill="accent2"/>
      </w:tcPr>
    </w:tblStylePr>
    <w:tblStylePr w:type="lastCol">
      <w:rPr>
        <w:b/>
        <w:bCs/>
        <w:color w:val="FFFFFF" w:themeColor="background1"/>
      </w:rPr>
      <w:tblPr/>
      <w:tcPr>
        <w:tcBorders>
          <w:left w:val="nil"/>
          <w:right w:val="nil"/>
          <w:insideH w:val="nil"/>
          <w:insideV w:val="nil"/>
        </w:tcBorders>
        <w:shd w:val="clear" w:color="auto" w:fill="53C2E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0141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96F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996F4" w:themeFill="accent3"/>
      </w:tcPr>
    </w:tblStylePr>
    <w:tblStylePr w:type="lastCol">
      <w:rPr>
        <w:b/>
        <w:bCs/>
        <w:color w:val="FFFFFF" w:themeColor="background1"/>
      </w:rPr>
      <w:tblPr/>
      <w:tcPr>
        <w:tcBorders>
          <w:left w:val="nil"/>
          <w:right w:val="nil"/>
          <w:insideH w:val="nil"/>
          <w:insideV w:val="nil"/>
        </w:tcBorders>
        <w:shd w:val="clear" w:color="auto" w:fill="8996F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0141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A4E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A4EA" w:themeFill="accent4"/>
      </w:tcPr>
    </w:tblStylePr>
    <w:tblStylePr w:type="lastCol">
      <w:rPr>
        <w:b/>
        <w:bCs/>
        <w:color w:val="FFFFFF" w:themeColor="background1"/>
      </w:rPr>
      <w:tblPr/>
      <w:tcPr>
        <w:tcBorders>
          <w:left w:val="nil"/>
          <w:right w:val="nil"/>
          <w:insideH w:val="nil"/>
          <w:insideV w:val="nil"/>
        </w:tcBorders>
        <w:shd w:val="clear" w:color="auto" w:fill="EAA4E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0141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969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969C" w:themeFill="accent5"/>
      </w:tcPr>
    </w:tblStylePr>
    <w:tblStylePr w:type="lastCol">
      <w:rPr>
        <w:b/>
        <w:bCs/>
        <w:color w:val="FFFFFF" w:themeColor="background1"/>
      </w:rPr>
      <w:tblPr/>
      <w:tcPr>
        <w:tcBorders>
          <w:left w:val="nil"/>
          <w:right w:val="nil"/>
          <w:insideH w:val="nil"/>
          <w:insideV w:val="nil"/>
        </w:tcBorders>
        <w:shd w:val="clear" w:color="auto" w:fill="FD969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0141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EF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EFD7" w:themeFill="accent6"/>
      </w:tcPr>
    </w:tblStylePr>
    <w:tblStylePr w:type="lastCol">
      <w:rPr>
        <w:b/>
        <w:bCs/>
        <w:color w:val="FFFFFF" w:themeColor="background1"/>
      </w:rPr>
      <w:tblPr/>
      <w:tcPr>
        <w:tcBorders>
          <w:left w:val="nil"/>
          <w:right w:val="nil"/>
          <w:insideH w:val="nil"/>
          <w:insideV w:val="nil"/>
        </w:tcBorders>
        <w:shd w:val="clear" w:color="auto" w:fill="B7EF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rsid w:val="000141F7"/>
    <w:rPr>
      <w:color w:val="2B579A"/>
      <w:shd w:val="clear" w:color="auto" w:fill="E1DFDD"/>
    </w:rPr>
  </w:style>
  <w:style w:type="paragraph" w:styleId="MessageHeader">
    <w:name w:val="Message Header"/>
    <w:basedOn w:val="Normal"/>
    <w:link w:val="MessageHeaderChar"/>
    <w:uiPriority w:val="99"/>
    <w:semiHidden/>
    <w:rsid w:val="000141F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141F7"/>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qFormat/>
    <w:rsid w:val="000141F7"/>
    <w:pPr>
      <w:jc w:val="both"/>
    </w:pPr>
    <w:rPr>
      <w:rFonts w:eastAsiaTheme="minorHAnsi" w:cstheme="minorBidi"/>
      <w:lang w:eastAsia="en-US"/>
    </w:rPr>
  </w:style>
  <w:style w:type="paragraph" w:styleId="NormalWeb">
    <w:name w:val="Normal (Web)"/>
    <w:basedOn w:val="Normal"/>
    <w:uiPriority w:val="99"/>
    <w:semiHidden/>
    <w:rsid w:val="000141F7"/>
    <w:rPr>
      <w:rFonts w:ascii="Times New Roman" w:hAnsi="Times New Roman" w:cs="Times New Roman"/>
      <w:sz w:val="24"/>
      <w:szCs w:val="24"/>
    </w:rPr>
  </w:style>
  <w:style w:type="paragraph" w:styleId="NormalIndent">
    <w:name w:val="Normal Indent"/>
    <w:basedOn w:val="Normal"/>
    <w:uiPriority w:val="99"/>
    <w:semiHidden/>
    <w:rsid w:val="000141F7"/>
    <w:pPr>
      <w:ind w:left="720"/>
    </w:pPr>
  </w:style>
  <w:style w:type="paragraph" w:styleId="NoteHeading">
    <w:name w:val="Note Heading"/>
    <w:basedOn w:val="Normal"/>
    <w:next w:val="Normal"/>
    <w:link w:val="NoteHeadingChar"/>
    <w:uiPriority w:val="99"/>
    <w:semiHidden/>
    <w:rsid w:val="000141F7"/>
  </w:style>
  <w:style w:type="character" w:customStyle="1" w:styleId="NoteHeadingChar">
    <w:name w:val="Note Heading Char"/>
    <w:basedOn w:val="DefaultParagraphFont"/>
    <w:link w:val="NoteHeading"/>
    <w:uiPriority w:val="99"/>
    <w:semiHidden/>
    <w:rsid w:val="000141F7"/>
    <w:rPr>
      <w:rFonts w:eastAsiaTheme="minorHAnsi" w:cstheme="minorBidi"/>
      <w:lang w:eastAsia="en-US"/>
    </w:rPr>
  </w:style>
  <w:style w:type="table" w:styleId="PlainTable1">
    <w:name w:val="Plain Table 1"/>
    <w:basedOn w:val="TableNormal"/>
    <w:uiPriority w:val="41"/>
    <w:rsid w:val="000141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141F7"/>
    <w:tblPr>
      <w:tblStyleRowBandSize w:val="1"/>
      <w:tblStyleColBandSize w:val="1"/>
      <w:tblBorders>
        <w:top w:val="single" w:sz="4" w:space="0" w:color="979797" w:themeColor="text1" w:themeTint="80"/>
        <w:bottom w:val="single" w:sz="4" w:space="0" w:color="979797" w:themeColor="text1" w:themeTint="80"/>
      </w:tblBorders>
    </w:tblPr>
    <w:tblStylePr w:type="firstRow">
      <w:rPr>
        <w:b/>
        <w:bCs/>
      </w:rPr>
      <w:tblPr/>
      <w:tcPr>
        <w:tcBorders>
          <w:bottom w:val="single" w:sz="4" w:space="0" w:color="979797" w:themeColor="text1" w:themeTint="80"/>
        </w:tcBorders>
      </w:tcPr>
    </w:tblStylePr>
    <w:tblStylePr w:type="lastRow">
      <w:rPr>
        <w:b/>
        <w:bCs/>
      </w:rPr>
      <w:tblPr/>
      <w:tcPr>
        <w:tcBorders>
          <w:top w:val="single" w:sz="4" w:space="0" w:color="979797" w:themeColor="text1" w:themeTint="80"/>
        </w:tcBorders>
      </w:tcPr>
    </w:tblStylePr>
    <w:tblStylePr w:type="firstCol">
      <w:rPr>
        <w:b/>
        <w:bCs/>
      </w:rPr>
    </w:tblStylePr>
    <w:tblStylePr w:type="lastCol">
      <w:rPr>
        <w:b/>
        <w:bCs/>
      </w:rPr>
    </w:tblStylePr>
    <w:tblStylePr w:type="band1Vert">
      <w:tblPr/>
      <w:tcPr>
        <w:tcBorders>
          <w:left w:val="single" w:sz="4" w:space="0" w:color="979797" w:themeColor="text1" w:themeTint="80"/>
          <w:right w:val="single" w:sz="4" w:space="0" w:color="979797" w:themeColor="text1" w:themeTint="80"/>
        </w:tcBorders>
      </w:tcPr>
    </w:tblStylePr>
    <w:tblStylePr w:type="band2Vert">
      <w:tblPr/>
      <w:tcPr>
        <w:tcBorders>
          <w:left w:val="single" w:sz="4" w:space="0" w:color="979797" w:themeColor="text1" w:themeTint="80"/>
          <w:right w:val="single" w:sz="4" w:space="0" w:color="979797" w:themeColor="text1" w:themeTint="80"/>
        </w:tcBorders>
      </w:tcPr>
    </w:tblStylePr>
    <w:tblStylePr w:type="band1Horz">
      <w:tblPr/>
      <w:tcPr>
        <w:tcBorders>
          <w:top w:val="single" w:sz="4" w:space="0" w:color="979797" w:themeColor="text1" w:themeTint="80"/>
          <w:bottom w:val="single" w:sz="4" w:space="0" w:color="979797" w:themeColor="text1" w:themeTint="80"/>
        </w:tcBorders>
      </w:tcPr>
    </w:tblStylePr>
  </w:style>
  <w:style w:type="table" w:styleId="PlainTable3">
    <w:name w:val="Plain Table 3"/>
    <w:basedOn w:val="TableNormal"/>
    <w:uiPriority w:val="43"/>
    <w:rsid w:val="000141F7"/>
    <w:tblPr>
      <w:tblStyleRowBandSize w:val="1"/>
      <w:tblStyleColBandSize w:val="1"/>
    </w:tblPr>
    <w:tblStylePr w:type="firstRow">
      <w:rPr>
        <w:b/>
        <w:bCs/>
        <w:caps/>
      </w:rPr>
      <w:tblPr/>
      <w:tcPr>
        <w:tcBorders>
          <w:bottom w:val="single" w:sz="4" w:space="0" w:color="9797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797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41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41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97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97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979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979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0141F7"/>
    <w:rPr>
      <w:rFonts w:ascii="Consolas" w:hAnsi="Consolas"/>
      <w:sz w:val="21"/>
      <w:szCs w:val="21"/>
    </w:rPr>
  </w:style>
  <w:style w:type="character" w:customStyle="1" w:styleId="PlainTextChar">
    <w:name w:val="Plain Text Char"/>
    <w:basedOn w:val="DefaultParagraphFont"/>
    <w:link w:val="PlainText"/>
    <w:uiPriority w:val="99"/>
    <w:rsid w:val="000141F7"/>
    <w:rPr>
      <w:rFonts w:ascii="Consolas" w:hAnsi="Consolas" w:eastAsiaTheme="minorHAnsi" w:cstheme="minorBidi"/>
      <w:sz w:val="21"/>
      <w:szCs w:val="21"/>
      <w:lang w:eastAsia="en-US"/>
    </w:rPr>
  </w:style>
  <w:style w:type="paragraph" w:styleId="Quote">
    <w:name w:val="Quote"/>
    <w:basedOn w:val="Normal"/>
    <w:next w:val="Normal"/>
    <w:link w:val="QuoteChar"/>
    <w:uiPriority w:val="29"/>
    <w:semiHidden/>
    <w:qFormat/>
    <w:rsid w:val="000141F7"/>
    <w:pPr>
      <w:spacing w:before="200" w:after="160"/>
      <w:ind w:left="864" w:right="864"/>
      <w:jc w:val="center"/>
    </w:pPr>
    <w:rPr>
      <w:i/>
      <w:iCs/>
      <w:color w:val="636363" w:themeColor="text1" w:themeTint="BF"/>
    </w:rPr>
  </w:style>
  <w:style w:type="character" w:customStyle="1" w:styleId="QuoteChar">
    <w:name w:val="Quote Char"/>
    <w:basedOn w:val="DefaultParagraphFont"/>
    <w:link w:val="Quote"/>
    <w:uiPriority w:val="29"/>
    <w:rsid w:val="000141F7"/>
    <w:rPr>
      <w:rFonts w:eastAsiaTheme="minorHAnsi" w:cstheme="minorBidi"/>
      <w:i/>
      <w:iCs/>
      <w:color w:val="636363" w:themeColor="text1" w:themeTint="BF"/>
      <w:lang w:eastAsia="en-US"/>
    </w:rPr>
  </w:style>
  <w:style w:type="paragraph" w:styleId="Salutation">
    <w:name w:val="Salutation"/>
    <w:basedOn w:val="Normal"/>
    <w:next w:val="Normal"/>
    <w:link w:val="SalutationChar"/>
    <w:uiPriority w:val="99"/>
    <w:semiHidden/>
    <w:rsid w:val="000141F7"/>
  </w:style>
  <w:style w:type="character" w:customStyle="1" w:styleId="SalutationChar">
    <w:name w:val="Salutation Char"/>
    <w:basedOn w:val="DefaultParagraphFont"/>
    <w:link w:val="Salutation"/>
    <w:uiPriority w:val="99"/>
    <w:semiHidden/>
    <w:rsid w:val="000141F7"/>
    <w:rPr>
      <w:rFonts w:eastAsiaTheme="minorHAnsi" w:cstheme="minorBidi"/>
      <w:lang w:eastAsia="en-US"/>
    </w:rPr>
  </w:style>
  <w:style w:type="paragraph" w:styleId="Signature">
    <w:name w:val="Signature"/>
    <w:basedOn w:val="Normal"/>
    <w:link w:val="SignatureChar"/>
    <w:uiPriority w:val="99"/>
    <w:semiHidden/>
    <w:rsid w:val="000141F7"/>
    <w:pPr>
      <w:ind w:left="4252"/>
    </w:pPr>
  </w:style>
  <w:style w:type="character" w:customStyle="1" w:styleId="SignatureChar">
    <w:name w:val="Signature Char"/>
    <w:basedOn w:val="DefaultParagraphFont"/>
    <w:link w:val="Signature"/>
    <w:uiPriority w:val="99"/>
    <w:semiHidden/>
    <w:rsid w:val="000141F7"/>
    <w:rPr>
      <w:rFonts w:eastAsiaTheme="minorHAnsi" w:cstheme="minorBidi"/>
      <w:lang w:eastAsia="en-US"/>
    </w:rPr>
  </w:style>
  <w:style w:type="character" w:customStyle="1" w:styleId="SmartHyperlink1">
    <w:name w:val="Smart Hyperlink1"/>
    <w:basedOn w:val="DefaultParagraphFont"/>
    <w:uiPriority w:val="99"/>
    <w:semiHidden/>
    <w:rsid w:val="000141F7"/>
    <w:rPr>
      <w:u w:val="dotted"/>
    </w:rPr>
  </w:style>
  <w:style w:type="character" w:customStyle="1" w:styleId="SmartLink1">
    <w:name w:val="SmartLink1"/>
    <w:basedOn w:val="DefaultParagraphFont"/>
    <w:uiPriority w:val="99"/>
    <w:semiHidden/>
    <w:rsid w:val="000141F7"/>
    <w:rPr>
      <w:color w:val="0000FF"/>
      <w:u w:val="single"/>
      <w:shd w:val="clear" w:color="auto" w:fill="F3F2F1"/>
    </w:rPr>
  </w:style>
  <w:style w:type="character" w:styleId="Strong">
    <w:name w:val="Strong"/>
    <w:basedOn w:val="DefaultParagraphFont"/>
    <w:uiPriority w:val="22"/>
    <w:semiHidden/>
    <w:qFormat/>
    <w:rsid w:val="000141F7"/>
    <w:rPr>
      <w:b/>
      <w:bCs/>
    </w:rPr>
  </w:style>
  <w:style w:type="paragraph" w:styleId="Subtitle">
    <w:name w:val="Subtitle"/>
    <w:basedOn w:val="Normal"/>
    <w:next w:val="Normal"/>
    <w:link w:val="SubtitleChar"/>
    <w:uiPriority w:val="11"/>
    <w:semiHidden/>
    <w:qFormat/>
    <w:rsid w:val="000141F7"/>
    <w:pPr>
      <w:numPr>
        <w:ilvl w:val="1"/>
      </w:numPr>
      <w:spacing w:after="160"/>
    </w:pPr>
    <w:rPr>
      <w:rFonts w:asciiTheme="minorHAnsi" w:eastAsiaTheme="minorEastAsia" w:hAnsiTheme="minorHAnsi"/>
      <w:color w:val="797979" w:themeColor="text1" w:themeTint="A5"/>
      <w:spacing w:val="15"/>
    </w:rPr>
  </w:style>
  <w:style w:type="character" w:customStyle="1" w:styleId="SubtitleChar">
    <w:name w:val="Subtitle Char"/>
    <w:basedOn w:val="DefaultParagraphFont"/>
    <w:link w:val="Subtitle"/>
    <w:uiPriority w:val="11"/>
    <w:rsid w:val="000141F7"/>
    <w:rPr>
      <w:rFonts w:asciiTheme="minorHAnsi" w:eastAsiaTheme="minorEastAsia" w:hAnsiTheme="minorHAnsi" w:cstheme="minorBidi"/>
      <w:color w:val="797979" w:themeColor="text1" w:themeTint="A5"/>
      <w:spacing w:val="15"/>
      <w:lang w:eastAsia="en-US"/>
    </w:rPr>
  </w:style>
  <w:style w:type="character" w:styleId="SubtleEmphasis">
    <w:name w:val="Subtle Emphasis"/>
    <w:basedOn w:val="DefaultParagraphFont"/>
    <w:uiPriority w:val="19"/>
    <w:semiHidden/>
    <w:qFormat/>
    <w:rsid w:val="000141F7"/>
    <w:rPr>
      <w:i/>
      <w:iCs/>
      <w:color w:val="636363" w:themeColor="text1" w:themeTint="BF"/>
    </w:rPr>
  </w:style>
  <w:style w:type="character" w:styleId="SubtleReference">
    <w:name w:val="Subtle Reference"/>
    <w:basedOn w:val="DefaultParagraphFont"/>
    <w:uiPriority w:val="31"/>
    <w:semiHidden/>
    <w:qFormat/>
    <w:rsid w:val="000141F7"/>
    <w:rPr>
      <w:smallCaps/>
      <w:color w:val="797979" w:themeColor="text1" w:themeTint="A5"/>
    </w:rPr>
  </w:style>
  <w:style w:type="table" w:styleId="Table3Deffects1">
    <w:name w:val="Table 3D effects 1"/>
    <w:basedOn w:val="TableNormal"/>
    <w:uiPriority w:val="99"/>
    <w:semiHidden/>
    <w:rsid w:val="000141F7"/>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1F7"/>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1F7"/>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1F7"/>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1F7"/>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1F7"/>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1F7"/>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1F7"/>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1F7"/>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1F7"/>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1F7"/>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1F7"/>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1F7"/>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1F7"/>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1F7"/>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1F7"/>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1F7"/>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1F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1F7"/>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1F7"/>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1F7"/>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1F7"/>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1F7"/>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1F7"/>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1F7"/>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uiPriority w:val="40"/>
    <w:rsid w:val="000141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rsid w:val="000141F7"/>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1F7"/>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1F7"/>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1F7"/>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1F7"/>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1F7"/>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1F7"/>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1F7"/>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1F7"/>
    <w:pPr>
      <w:ind w:left="220" w:hanging="220"/>
    </w:pPr>
  </w:style>
  <w:style w:type="paragraph" w:styleId="TableofFigures">
    <w:name w:val="table of figures"/>
    <w:basedOn w:val="Normal"/>
    <w:next w:val="Normal"/>
    <w:uiPriority w:val="99"/>
    <w:semiHidden/>
    <w:rsid w:val="000141F7"/>
  </w:style>
  <w:style w:type="table" w:styleId="TableProfessional">
    <w:name w:val="Table Professional"/>
    <w:basedOn w:val="TableNormal"/>
    <w:uiPriority w:val="99"/>
    <w:semiHidden/>
    <w:rsid w:val="000141F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1F7"/>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1F7"/>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1F7"/>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1F7"/>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1F7"/>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1F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1F7"/>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1F7"/>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1F7"/>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0141F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1F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rsid w:val="000141F7"/>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9"/>
    <w:semiHidden/>
    <w:rsid w:val="000141F7"/>
    <w:pPr>
      <w:spacing w:after="100"/>
      <w:ind w:left="1100"/>
    </w:pPr>
  </w:style>
  <w:style w:type="paragraph" w:styleId="TOC7">
    <w:name w:val="toc 7"/>
    <w:basedOn w:val="Normal"/>
    <w:next w:val="Normal"/>
    <w:autoRedefine/>
    <w:uiPriority w:val="39"/>
    <w:semiHidden/>
    <w:rsid w:val="000141F7"/>
    <w:pPr>
      <w:spacing w:after="100"/>
      <w:ind w:left="1320"/>
    </w:pPr>
  </w:style>
  <w:style w:type="paragraph" w:styleId="TOC8">
    <w:name w:val="toc 8"/>
    <w:basedOn w:val="Normal"/>
    <w:next w:val="Normal"/>
    <w:autoRedefine/>
    <w:uiPriority w:val="39"/>
    <w:semiHidden/>
    <w:rsid w:val="000141F7"/>
    <w:pPr>
      <w:spacing w:after="100"/>
      <w:ind w:left="1540"/>
    </w:pPr>
  </w:style>
  <w:style w:type="paragraph" w:styleId="TOC9">
    <w:name w:val="toc 9"/>
    <w:basedOn w:val="Normal"/>
    <w:next w:val="Normal"/>
    <w:autoRedefine/>
    <w:uiPriority w:val="39"/>
    <w:semiHidden/>
    <w:rsid w:val="000141F7"/>
    <w:pPr>
      <w:spacing w:after="100"/>
      <w:ind w:left="1760"/>
    </w:pPr>
  </w:style>
  <w:style w:type="paragraph" w:styleId="TOCHeading">
    <w:name w:val="TOC Heading"/>
    <w:basedOn w:val="Heading1"/>
    <w:next w:val="Normal"/>
    <w:uiPriority w:val="39"/>
    <w:semiHidden/>
    <w:qFormat/>
    <w:rsid w:val="000141F7"/>
    <w:pPr>
      <w:numPr>
        <w:ilvl w:val="0"/>
        <w:numId w:val="0"/>
      </w:numPr>
      <w:spacing w:before="240" w:after="0"/>
      <w:outlineLvl w:val="9"/>
    </w:pPr>
    <w:rPr>
      <w:rFonts w:asciiTheme="majorHAnsi" w:eastAsiaTheme="majorEastAsia" w:hAnsiTheme="majorHAnsi" w:cstheme="majorBidi"/>
      <w:b w:val="0"/>
      <w:bCs w:val="0"/>
      <w:color w:val="3CD493" w:themeColor="accent1" w:themeShade="BF"/>
      <w:kern w:val="0"/>
      <w:sz w:val="32"/>
      <w:szCs w:val="32"/>
      <w:u w:val="none"/>
      <w:lang w:eastAsia="en-US"/>
    </w:rPr>
  </w:style>
  <w:style w:type="character" w:customStyle="1" w:styleId="UnresolvedMention1">
    <w:name w:val="Unresolved Mention1"/>
    <w:basedOn w:val="DefaultParagraphFont"/>
    <w:uiPriority w:val="99"/>
    <w:semiHidden/>
    <w:rsid w:val="000141F7"/>
    <w:rPr>
      <w:color w:val="605E5C"/>
      <w:shd w:val="clear" w:color="auto" w:fill="E1DFDD"/>
    </w:rPr>
  </w:style>
  <w:style w:type="paragraph" w:styleId="Revision">
    <w:name w:val="Revision"/>
    <w:hidden/>
    <w:uiPriority w:val="99"/>
    <w:semiHidden/>
    <w:rsid w:val="000141F7"/>
    <w:rPr>
      <w:rFonts w:ascii="Times New Roman" w:eastAsia="Times New Roman" w:hAnsi="Times New Roman"/>
      <w:sz w:val="23"/>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header" Target="header6.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glossary/_rels/document.xml.rels>&#65279;<?xml version="1.0" encoding="utf-8" standalone="yes"?><Relationships xmlns="http://schemas.openxmlformats.org/package/2006/relationships"><Relationship Id="rId1" Type="http://schemas.openxmlformats.org/officeDocument/2006/relationships/endnotes" Target="end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996653A061342C3ACC329681684B9ED"/>
        <w:category>
          <w:name w:val="General"/>
          <w:gallery w:val="placeholder"/>
        </w:category>
        <w:types>
          <w:type w:val="bbPlcHdr"/>
        </w:types>
        <w:behaviors>
          <w:behavior w:val="content"/>
        </w:behaviors>
        <w:guid w:val="{FB36D86E-00A8-4345-9CAD-280B23DF8235}"/>
      </w:docPartPr>
      <w:docPartBody>
        <w:p w:rsidR="00464844"/>
      </w:docPartBody>
    </w:docPart>
    <w:docPart>
      <w:docPartPr>
        <w:name w:val="B9295C6F9C6A4791B7E2E5937E6225C6"/>
        <w:category>
          <w:name w:val="General"/>
          <w:gallery w:val="placeholder"/>
        </w:category>
        <w:types>
          <w:type w:val="bbPlcHdr"/>
        </w:types>
        <w:behaviors>
          <w:behavior w:val="content"/>
        </w:behaviors>
        <w:guid w:val="{67DD1C7A-0D83-4631-97DC-49212F149C0B}"/>
      </w:docPartPr>
      <w:docPartBody>
        <w:p w:rsidR="00464844"/>
      </w:docPartBody>
    </w:docPart>
    <w:docPart>
      <w:docPartPr>
        <w:name w:val="9544620B52984FA980DC07B6E214A274"/>
        <w:category>
          <w:name w:val="General"/>
          <w:gallery w:val="placeholder"/>
        </w:category>
        <w:types>
          <w:type w:val="bbPlcHdr"/>
        </w:types>
        <w:behaviors>
          <w:behavior w:val="content"/>
        </w:behaviors>
        <w:guid w:val="{98020DC8-7F23-422F-9706-BBBD68B5DC00}"/>
      </w:docPartPr>
      <w:docPartBody>
        <w:p w:rsidR="00464844"/>
      </w:docPartBody>
    </w:docPart>
    <w:docPart>
      <w:docPartPr>
        <w:name w:val="8B8879CB8967422F92A18FCA2DF57681"/>
        <w:category>
          <w:name w:val="General"/>
          <w:gallery w:val="placeholder"/>
        </w:category>
        <w:types>
          <w:type w:val="bbPlcHdr"/>
        </w:types>
        <w:behaviors>
          <w:behavior w:val="content"/>
        </w:behaviors>
        <w:guid w:val="{38EEFDC8-EBC5-4CFF-A6E0-4ACADA31B0DE}"/>
      </w:docPartPr>
      <w:docPartBody>
        <w:p w:rsidR="00464844"/>
      </w:docPartBody>
    </w:docPart>
    <w:docPart>
      <w:docPartPr>
        <w:name w:val="170E853D9DB943BC8D738FC7BCF0D64C"/>
        <w:category>
          <w:name w:val="General"/>
          <w:gallery w:val="placeholder"/>
        </w:category>
        <w:types>
          <w:type w:val="bbPlcHdr"/>
        </w:types>
        <w:behaviors>
          <w:behavior w:val="content"/>
        </w:behaviors>
        <w:guid w:val="{6FEBF6A4-ED3F-46DA-BF57-2CCF864586C0}"/>
      </w:docPartPr>
      <w:docPartBody>
        <w:p w:rsidR="006B40EB"/>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3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Real Text Light">
    <w:altName w:val="Calibri"/>
    <w:panose1 w:val="020B0504020101010102"/>
    <w:charset w:val="00"/>
    <w:family w:val="swiss"/>
    <w:notTrueType/>
    <w:pitch w:val="variable"/>
    <w:sig w:usb0="A00000FF" w:usb1="4000E47B" w:usb2="00000000" w:usb3="00000000" w:csb0="00000093" w:csb1="00000000"/>
  </w:font>
  <w:font w:name="Cairo">
    <w:panose1 w:val="00000500000000000000"/>
    <w:charset w:val="00"/>
    <w:family w:val="auto"/>
    <w:pitch w:val="variable"/>
    <w:sig w:usb0="00002007" w:usb1="00000001" w:usb2="00000008" w:usb3="00000000" w:csb0="000000D3"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7A"/>
    <w:rsid w:val="00015E28"/>
    <w:rsid w:val="00097CB2"/>
    <w:rsid w:val="000C1DC7"/>
    <w:rsid w:val="000D74B2"/>
    <w:rsid w:val="000E39BE"/>
    <w:rsid w:val="000E3ADF"/>
    <w:rsid w:val="00116B98"/>
    <w:rsid w:val="00160C48"/>
    <w:rsid w:val="00167982"/>
    <w:rsid w:val="001755CC"/>
    <w:rsid w:val="001864BA"/>
    <w:rsid w:val="001917D7"/>
    <w:rsid w:val="002035D5"/>
    <w:rsid w:val="002274CC"/>
    <w:rsid w:val="0026169B"/>
    <w:rsid w:val="002A36E0"/>
    <w:rsid w:val="002C0C72"/>
    <w:rsid w:val="002C2595"/>
    <w:rsid w:val="002C5D22"/>
    <w:rsid w:val="00307FE3"/>
    <w:rsid w:val="00325CAB"/>
    <w:rsid w:val="003A5B17"/>
    <w:rsid w:val="003A6605"/>
    <w:rsid w:val="003B142F"/>
    <w:rsid w:val="003C32AE"/>
    <w:rsid w:val="003C76AA"/>
    <w:rsid w:val="003E060F"/>
    <w:rsid w:val="00464844"/>
    <w:rsid w:val="004C3089"/>
    <w:rsid w:val="004F40D6"/>
    <w:rsid w:val="00502F15"/>
    <w:rsid w:val="00511370"/>
    <w:rsid w:val="00521D60"/>
    <w:rsid w:val="00541DA6"/>
    <w:rsid w:val="005472FE"/>
    <w:rsid w:val="00553954"/>
    <w:rsid w:val="005716C1"/>
    <w:rsid w:val="005A6DC0"/>
    <w:rsid w:val="005D7E73"/>
    <w:rsid w:val="00622C92"/>
    <w:rsid w:val="00636C95"/>
    <w:rsid w:val="006B40EB"/>
    <w:rsid w:val="006C3665"/>
    <w:rsid w:val="007152AC"/>
    <w:rsid w:val="00741C43"/>
    <w:rsid w:val="007A3592"/>
    <w:rsid w:val="007A58E4"/>
    <w:rsid w:val="00852C58"/>
    <w:rsid w:val="00866B8C"/>
    <w:rsid w:val="008872CF"/>
    <w:rsid w:val="00891129"/>
    <w:rsid w:val="008C377A"/>
    <w:rsid w:val="00917DB4"/>
    <w:rsid w:val="00964E67"/>
    <w:rsid w:val="00986A0C"/>
    <w:rsid w:val="00A6719A"/>
    <w:rsid w:val="00A90C18"/>
    <w:rsid w:val="00AC6023"/>
    <w:rsid w:val="00AE2E32"/>
    <w:rsid w:val="00B3382A"/>
    <w:rsid w:val="00B37822"/>
    <w:rsid w:val="00B55951"/>
    <w:rsid w:val="00B64B69"/>
    <w:rsid w:val="00B961E9"/>
    <w:rsid w:val="00BE2533"/>
    <w:rsid w:val="00C155DC"/>
    <w:rsid w:val="00C171E8"/>
    <w:rsid w:val="00C32E47"/>
    <w:rsid w:val="00CA3F31"/>
    <w:rsid w:val="00D3067F"/>
    <w:rsid w:val="00D30B62"/>
    <w:rsid w:val="00D40651"/>
    <w:rsid w:val="00DA5F30"/>
    <w:rsid w:val="00DD19EF"/>
    <w:rsid w:val="00DD263B"/>
    <w:rsid w:val="00DF0ACA"/>
    <w:rsid w:val="00DF63C5"/>
    <w:rsid w:val="00E03977"/>
    <w:rsid w:val="00E05C3A"/>
    <w:rsid w:val="00E226A5"/>
    <w:rsid w:val="00E243FE"/>
    <w:rsid w:val="00E373E4"/>
    <w:rsid w:val="00EC18D2"/>
    <w:rsid w:val="00F00278"/>
    <w:rsid w:val="00F1313F"/>
    <w:rsid w:val="00F67AB6"/>
  </w:rsid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0C4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Simmons - Word">
  <a:themeElements>
    <a:clrScheme name="Simmons Default">
      <a:dk1>
        <a:srgbClr val="303030"/>
      </a:dk1>
      <a:lt1>
        <a:srgbClr val="FFFFFF"/>
      </a:lt1>
      <a:dk2>
        <a:srgbClr val="FC515B"/>
      </a:dk2>
      <a:lt2>
        <a:srgbClr val="D8D8D8"/>
      </a:lt2>
      <a:accent1>
        <a:srgbClr val="88E5BD"/>
      </a:accent1>
      <a:accent2>
        <a:srgbClr val="53C2E5"/>
      </a:accent2>
      <a:accent3>
        <a:srgbClr val="8996F4"/>
      </a:accent3>
      <a:accent4>
        <a:srgbClr val="EAA4EA"/>
      </a:accent4>
      <a:accent5>
        <a:srgbClr val="FD969C"/>
      </a:accent5>
      <a:accent6>
        <a:srgbClr val="B7EFD7"/>
      </a:accent6>
      <a:hlink>
        <a:srgbClr val="0563C1"/>
      </a:hlink>
      <a:folHlink>
        <a:srgbClr val="954F72"/>
      </a:folHlink>
    </a:clrScheme>
    <a:fontScheme name="Custom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defRPr sz="1600" dirty="0"/>
        </a:defPPr>
      </a:lstStyle>
    </a:txDef>
  </a:objectDefaults>
  <a:extraClrSchemeLst/>
  <a:extLst>
    <a:ext uri="{05A4C25C-085E-4340-85A3-A5531E510DB2}">
      <thm15:themeFamily xmlns:thm15="http://schemas.microsoft.com/office/thememl/2012/main" name="Simmons" id="{E65F5AEB-1984-4FC1-8873-5023D374DCD4}" vid="{06B1774F-B232-49F1-A148-B96D1EC6530F}"/>
    </a:ext>
  </a:extLst>
</a:theme>
</file>

<file path=docProps/app.xml><?xml version="1.0" encoding="utf-8"?>
<Properties xmlns="http://schemas.openxmlformats.org/officeDocument/2006/extended-properties" xmlns:vt="http://schemas.openxmlformats.org/officeDocument/2006/docPropsVTypes">
  <TotalTime>0</TotalTime>
  <Pages>39</Pages>
  <Words>17712</Words>
  <Characters>86048</Characters>
  <Application>Microsoft Office Word</Application>
  <DocSecurity>0</DocSecurity>
  <Lines>715</Lines>
  <Paragraphs>548</Paragraphs>
  <ScaleCrop>false</ScaleCrop>
  <HeadingPairs>
    <vt:vector size="2" baseType="variant">
      <vt:variant>
        <vt:lpstr/>
      </vt:variant>
      <vt:variant>
        <vt:i4>1</vt:i4>
      </vt:variant>
    </vt:vector>
  </HeadingPairs>
  <TitlesOfParts>
    <vt:vector size="1" baseType="lpstr">
      <vt:lpstr/>
    </vt:vector>
  </TitlesOfParts>
  <Company/>
  <LinksUpToDate>false</LinksUpToDate>
  <CharactersWithSpaces>103328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