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4300" w:rsidR="00DE2E87" w:rsidP="00E32EAB" w:rsidRDefault="00DE2E87" w14:paraId="10204BFC" w14:textId="77777777"/>
    <w:tbl>
      <w:tblPr>
        <w:tblW w:w="5000" w:type="pct"/>
        <w:tblCellMar>
          <w:left w:w="0" w:type="dxa"/>
          <w:right w:w="0" w:type="dxa"/>
        </w:tblCellMar>
        <w:tblLook w:val="01E0" w:firstRow="1" w:lastRow="1" w:firstColumn="1" w:lastColumn="1" w:noHBand="0" w:noVBand="0"/>
      </w:tblPr>
      <w:tblGrid>
        <w:gridCol w:w="10205"/>
      </w:tblGrid>
      <w:tr w:rsidRPr="009F4300" w:rsidR="0014706F" w:rsidTr="0014706F" w14:paraId="1D12E111" w14:textId="77777777">
        <w:trPr>
          <w:trHeight w:val="820"/>
        </w:trPr>
        <w:tc>
          <w:tcPr>
            <w:tcW w:w="5000" w:type="pct"/>
          </w:tcPr>
          <w:p w:rsidRPr="00847E3D" w:rsidR="0014706F" w:rsidP="005D6306" w:rsidRDefault="0014706F" w14:paraId="3F97A392" w14:textId="026BD62E">
            <w:pPr>
              <w:rPr>
                <w:b/>
                <w:bCs/>
                <w:color w:val="FF0000"/>
              </w:rPr>
            </w:pPr>
            <w:r>
              <w:rPr>
                <w:b/>
                <w:bCs/>
                <w:color w:val="FF0000"/>
              </w:rPr>
              <w:t xml:space="preserve">Model </w:t>
            </w:r>
            <w:r w:rsidR="00771373">
              <w:rPr>
                <w:b/>
                <w:bCs/>
                <w:color w:val="FF0000"/>
              </w:rPr>
              <w:t xml:space="preserve">LTAF </w:t>
            </w:r>
            <w:r>
              <w:rPr>
                <w:b/>
                <w:bCs/>
                <w:color w:val="FF0000"/>
              </w:rPr>
              <w:t>co-ownership deed p</w:t>
            </w:r>
            <w:r w:rsidRPr="00847E3D">
              <w:rPr>
                <w:b/>
                <w:bCs/>
                <w:color w:val="FF0000"/>
              </w:rPr>
              <w:t xml:space="preserve">roduced by </w:t>
            </w:r>
            <w:r>
              <w:rPr>
                <w:b/>
                <w:bCs/>
                <w:color w:val="FF0000"/>
              </w:rPr>
              <w:t xml:space="preserve">Simmons &amp; Simmons for </w:t>
            </w:r>
            <w:r w:rsidRPr="00847E3D">
              <w:rPr>
                <w:b/>
                <w:bCs/>
                <w:color w:val="FF0000"/>
              </w:rPr>
              <w:t>the Productive Finance Working Group</w:t>
            </w:r>
            <w:r>
              <w:rPr>
                <w:b/>
                <w:bCs/>
                <w:color w:val="FF0000"/>
              </w:rPr>
              <w:t xml:space="preserve"> </w:t>
            </w:r>
            <w:bookmarkStart w:name="_Hlk161354996" w:id="0"/>
            <w:r>
              <w:rPr>
                <w:b/>
                <w:bCs/>
                <w:color w:val="FF0000"/>
              </w:rPr>
              <w:t>(</w:t>
            </w:r>
            <w:r w:rsidR="00892DBD">
              <w:rPr>
                <w:b/>
                <w:bCs/>
                <w:color w:val="FF0000"/>
              </w:rPr>
              <w:t>October</w:t>
            </w:r>
            <w:r>
              <w:rPr>
                <w:b/>
                <w:bCs/>
                <w:color w:val="FF0000"/>
              </w:rPr>
              <w:t xml:space="preserve"> 2024)</w:t>
            </w:r>
            <w:bookmarkEnd w:id="0"/>
          </w:p>
          <w:p w:rsidRPr="009F4300" w:rsidR="0014706F" w:rsidRDefault="00E00B4F" w14:paraId="70DE5940" w14:textId="77777777">
            <w:pPr>
              <w:pStyle w:val="ssLegendsUnderlined"/>
            </w:pPr>
          </w:p>
        </w:tc>
      </w:tr>
      <w:tr w:rsidRPr="009F4300" w:rsidR="00F00AAD" w:rsidTr="00BA5FFC" w14:paraId="5701D871" w14:textId="77777777">
        <w:tc>
          <w:tcPr>
            <w:tcW w:w="5000" w:type="pct"/>
          </w:tcPr>
          <w:p w:rsidRPr="009F4300" w:rsidR="00F00AAD" w:rsidRDefault="0001720C" w14:paraId="7851038B" w14:textId="15DE919B">
            <w:pPr>
              <w:pStyle w:val="ssDocName"/>
              <w:jc w:val="left"/>
            </w:pPr>
            <w:r w:rsidRPr="009F4300">
              <w:t>Co-Ownership Deed</w:t>
            </w:r>
          </w:p>
        </w:tc>
      </w:tr>
    </w:tbl>
    <w:p w:rsidRPr="005D6306" w:rsidR="00F00AAD" w:rsidP="00E534FC" w:rsidRDefault="0001720C" w14:paraId="7CD94515" w14:textId="71BC0756">
      <w:pPr>
        <w:pStyle w:val="ssUserEntry"/>
      </w:pPr>
      <w:r w:rsidRPr="005D6306">
        <w:t>between</w:t>
      </w:r>
    </w:p>
    <w:p w:rsidRPr="009F4300" w:rsidR="00F00AAD" w:rsidP="00E534FC" w:rsidRDefault="00F00AAD" w14:paraId="363C3542" w14:textId="77777777">
      <w:pPr>
        <w:pStyle w:val="ssSpacingLine"/>
      </w:pPr>
    </w:p>
    <w:tbl>
      <w:tblPr>
        <w:tblW w:w="0" w:type="auto"/>
        <w:tblInd w:w="-113" w:type="dxa"/>
        <w:tblLook w:val="01E0" w:firstRow="1" w:lastRow="1" w:firstColumn="1" w:lastColumn="1" w:noHBand="0" w:noVBand="0"/>
      </w:tblPr>
      <w:tblGrid>
        <w:gridCol w:w="7200"/>
      </w:tblGrid>
      <w:tr w:rsidRPr="009F4300" w:rsidR="00F00AAD" w:rsidTr="0008009E" w14:paraId="65C0EB26" w14:textId="77777777">
        <w:tc>
          <w:tcPr>
            <w:tcW w:w="7200" w:type="dxa"/>
          </w:tcPr>
          <w:p w:rsidRPr="005D6306" w:rsidR="0001720C" w:rsidP="00D920AD" w:rsidRDefault="0001720C" w14:paraId="3BBB0197" w14:textId="4D8C2E5A">
            <w:pPr>
              <w:pStyle w:val="ssParty"/>
              <w:rPr>
                <w:b/>
                <w:bCs/>
              </w:rPr>
            </w:pPr>
            <w:r w:rsidRPr="005D6306">
              <w:rPr>
                <w:b/>
                <w:bCs/>
              </w:rPr>
              <w:t>[</w:t>
            </w:r>
            <w:r w:rsidRPr="00892DBD">
              <w:rPr>
                <w:b/>
                <w:bCs/>
                <w:highlight w:val="yellow"/>
              </w:rPr>
              <w:t>Manager</w:t>
            </w:r>
            <w:r w:rsidRPr="005D6306">
              <w:rPr>
                <w:b/>
                <w:bCs/>
              </w:rPr>
              <w:t>]</w:t>
            </w:r>
          </w:p>
          <w:p w:rsidRPr="005D6306" w:rsidR="00B21EE2" w:rsidP="00B21EE2" w:rsidRDefault="00B21EE2" w14:paraId="302F4ACC" w14:textId="77777777">
            <w:pPr>
              <w:pStyle w:val="ssRole"/>
              <w:rPr>
                <w:rFonts w:eastAsia="SimSun"/>
                <w:b/>
                <w:bCs/>
              </w:rPr>
            </w:pPr>
          </w:p>
          <w:p w:rsidRPr="005D6306" w:rsidR="00B21EE2" w:rsidP="00B21EE2" w:rsidRDefault="00B21EE2" w14:paraId="4AE30A2B" w14:textId="0309F602">
            <w:pPr>
              <w:pStyle w:val="ssRole"/>
              <w:rPr>
                <w:rFonts w:eastAsia="SimSun"/>
              </w:rPr>
            </w:pPr>
            <w:r w:rsidRPr="005D6306">
              <w:rPr>
                <w:rFonts w:eastAsia="SimSun"/>
              </w:rPr>
              <w:t>and</w:t>
            </w:r>
          </w:p>
          <w:p w:rsidRPr="005D6306" w:rsidR="0001720C" w:rsidP="00B21EE2" w:rsidRDefault="00E00B4F" w14:paraId="1038DBF8" w14:textId="0711A491">
            <w:pPr>
              <w:pStyle w:val="ssRole"/>
              <w:rPr>
                <w:rFonts w:eastAsia="SimSun"/>
                <w:b/>
                <w:bCs/>
              </w:rPr>
            </w:pPr>
          </w:p>
          <w:p w:rsidRPr="009F4300" w:rsidR="00F00AAD" w:rsidP="0001720C" w:rsidRDefault="0001720C" w14:paraId="3ED3FDEB" w14:textId="16999092">
            <w:pPr>
              <w:pStyle w:val="ssParty"/>
            </w:pPr>
            <w:r w:rsidRPr="005D6306">
              <w:rPr>
                <w:b/>
                <w:bCs/>
              </w:rPr>
              <w:t>[</w:t>
            </w:r>
            <w:r w:rsidRPr="00892DBD">
              <w:rPr>
                <w:b/>
                <w:bCs/>
                <w:highlight w:val="yellow"/>
              </w:rPr>
              <w:t>Depositary</w:t>
            </w:r>
            <w:r w:rsidRPr="005D6306">
              <w:rPr>
                <w:b/>
                <w:bCs/>
              </w:rPr>
              <w:t>]</w:t>
            </w:r>
          </w:p>
        </w:tc>
      </w:tr>
    </w:tbl>
    <w:p w:rsidRPr="009F4300" w:rsidR="00F00AAD" w:rsidP="00662F92" w:rsidRDefault="00F00AAD" w14:paraId="3509F549" w14:textId="77777777">
      <w:pPr>
        <w:pStyle w:val="ssSpacingLine"/>
      </w:pPr>
    </w:p>
    <w:p w:rsidRPr="005D6306" w:rsidR="00F00AAD" w:rsidP="00B22C4E" w:rsidRDefault="00763112" w14:paraId="5A13BB3F" w14:textId="13FBA7C2">
      <w:pPr>
        <w:pStyle w:val="ssPara"/>
      </w:pPr>
      <w:r w:rsidRPr="005D6306">
        <w:t>relating to</w:t>
      </w:r>
    </w:p>
    <w:tbl>
      <w:tblPr>
        <w:tblW w:w="10461" w:type="dxa"/>
        <w:tblInd w:w="-113" w:type="dxa"/>
        <w:tblLook w:val="01E0" w:firstRow="1" w:lastRow="1" w:firstColumn="1" w:lastColumn="1" w:noHBand="0" w:noVBand="0"/>
      </w:tblPr>
      <w:tblGrid>
        <w:gridCol w:w="10461"/>
      </w:tblGrid>
      <w:tr w:rsidRPr="009F4300" w:rsidR="00F00AAD" w:rsidTr="00FE2738" w14:paraId="1503359E" w14:textId="77777777">
        <w:tc>
          <w:tcPr>
            <w:tcW w:w="10461" w:type="dxa"/>
          </w:tcPr>
          <w:p w:rsidR="00E9006F" w:rsidP="003F3781" w:rsidRDefault="00763112" w14:paraId="74D5B0DE" w14:textId="66ED0BD7">
            <w:pPr>
              <w:pStyle w:val="ssParty"/>
              <w:jc w:val="center"/>
              <w:rPr>
                <w:rFonts w:eastAsia="SimSun" w:cs="Arial"/>
                <w:b/>
                <w:bCs/>
              </w:rPr>
            </w:pPr>
            <w:r w:rsidRPr="005D6306">
              <w:rPr>
                <w:rFonts w:eastAsia="SimSun" w:cs="Arial"/>
                <w:b/>
                <w:bCs/>
              </w:rPr>
              <w:t>[</w:t>
            </w:r>
            <w:r w:rsidRPr="00892DBD" w:rsidR="00892DBD">
              <w:rPr>
                <w:bCs/>
                <w:highlight w:val="yellow"/>
              </w:rPr>
              <w:t>●</w:t>
            </w:r>
            <w:r w:rsidRPr="005D6306">
              <w:rPr>
                <w:rFonts w:eastAsia="SimSun" w:cs="Arial"/>
                <w:b/>
                <w:bCs/>
              </w:rPr>
              <w:t>] [</w:t>
            </w:r>
            <w:r w:rsidRPr="005D6306">
              <w:rPr>
                <w:rFonts w:cs="Arial"/>
                <w:b/>
                <w:bCs/>
              </w:rPr>
              <w:t>Long-Term Asset Fund / LTAF</w:t>
            </w:r>
            <w:r w:rsidRPr="005D6306" w:rsidR="00782A35">
              <w:rPr>
                <w:rFonts w:cs="Arial"/>
                <w:b/>
                <w:bCs/>
              </w:rPr>
              <w:t>]</w:t>
            </w:r>
            <w:r w:rsidRPr="005D6306">
              <w:rPr>
                <w:rStyle w:val="EndnoteReference"/>
                <w:rFonts w:cs="Arial"/>
                <w:b/>
                <w:bCs/>
              </w:rPr>
              <w:endnoteReference w:id="1"/>
            </w:r>
          </w:p>
          <w:p w:rsidR="00E9006F" w:rsidRDefault="00E9006F" w14:paraId="72F0D66B" w14:textId="77777777">
            <w:pPr>
              <w:pStyle w:val="ssParty"/>
              <w:rPr>
                <w:rFonts w:eastAsia="SimSun" w:cs="Arial"/>
                <w:b/>
                <w:bCs/>
              </w:rPr>
            </w:pPr>
          </w:p>
          <w:p w:rsidRPr="009F4300" w:rsidR="00F00AAD" w:rsidRDefault="00763112" w14:paraId="420355E6" w14:textId="1C047B09">
            <w:pPr>
              <w:pStyle w:val="ssParty"/>
              <w:rPr>
                <w:rFonts w:eastAsia="SimSun"/>
              </w:rPr>
            </w:pPr>
            <w:r w:rsidRPr="005D6306">
              <w:rPr>
                <w:rFonts w:eastAsia="SimSun" w:cs="Arial"/>
                <w:b/>
                <w:bCs/>
              </w:rPr>
              <w:t xml:space="preserve">an </w:t>
            </w:r>
            <w:r w:rsidRPr="005D6306" w:rsidR="00FE2738">
              <w:rPr>
                <w:rFonts w:eastAsia="SimSun" w:cs="Arial"/>
                <w:b/>
                <w:bCs/>
              </w:rPr>
              <w:t>a</w:t>
            </w:r>
            <w:r w:rsidRPr="005D6306">
              <w:rPr>
                <w:rFonts w:eastAsia="SimSun" w:cs="Arial"/>
                <w:b/>
                <w:bCs/>
              </w:rPr>
              <w:t xml:space="preserve">uthorised </w:t>
            </w:r>
            <w:r w:rsidRPr="005D6306" w:rsidR="00FE2738">
              <w:rPr>
                <w:rFonts w:eastAsia="SimSun" w:cs="Arial"/>
                <w:b/>
                <w:bCs/>
              </w:rPr>
              <w:t>c</w:t>
            </w:r>
            <w:r w:rsidRPr="005D6306">
              <w:rPr>
                <w:rFonts w:eastAsia="SimSun" w:cs="Arial"/>
                <w:b/>
                <w:bCs/>
              </w:rPr>
              <w:t xml:space="preserve">ontractual </w:t>
            </w:r>
            <w:r w:rsidRPr="005D6306" w:rsidR="00FE2738">
              <w:rPr>
                <w:rFonts w:eastAsia="SimSun" w:cs="Arial"/>
                <w:b/>
                <w:bCs/>
              </w:rPr>
              <w:t>s</w:t>
            </w:r>
            <w:r w:rsidRPr="005D6306">
              <w:rPr>
                <w:rFonts w:eastAsia="SimSun" w:cs="Arial"/>
                <w:b/>
                <w:bCs/>
              </w:rPr>
              <w:t>cheme structured as an umbrella co-ownership arrangement and authorised by the United Kingdom Financial Conduct Authority as a Long-Term Asset Fund</w:t>
            </w:r>
          </w:p>
        </w:tc>
      </w:tr>
      <w:tr w:rsidRPr="009F4300" w:rsidR="005D6306" w:rsidTr="00FE2738" w14:paraId="23AC8EDA" w14:textId="77777777">
        <w:tc>
          <w:tcPr>
            <w:tcW w:w="10461" w:type="dxa"/>
          </w:tcPr>
          <w:p w:rsidRPr="00F4370F" w:rsidR="005D6306" w:rsidRDefault="005D6306" w14:paraId="2C7F1DF2" w14:textId="77777777">
            <w:pPr>
              <w:pStyle w:val="ssParty"/>
              <w:rPr>
                <w:rFonts w:eastAsia="SimSun" w:cs="Arial"/>
              </w:rPr>
            </w:pPr>
          </w:p>
        </w:tc>
      </w:tr>
    </w:tbl>
    <w:p w:rsidRPr="00763112" w:rsidR="00BB589D" w:rsidP="00FE2738" w:rsidRDefault="00BB589D" w14:paraId="11AC984B" w14:textId="36DF4103">
      <w:pPr>
        <w:jc w:val="left"/>
        <w:rPr>
          <w:rFonts w:cs="Arial"/>
          <w:b/>
          <w:bCs/>
          <w:color w:val="FF0000"/>
        </w:rPr>
        <w:sectPr w:rsidRPr="00763112" w:rsidR="00BB589D" w:rsidSect="00A54CA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851" w:bottom="567" w:left="851" w:header="567" w:footer="567" w:gutter="0"/>
          <w:cols w:space="720"/>
          <w:titlePg/>
        </w:sectPr>
      </w:pPr>
    </w:p>
    <w:p w:rsidRPr="009F4300" w:rsidR="00135C41" w:rsidP="00C44B30" w:rsidRDefault="0001720C" w14:paraId="255B4306" w14:textId="75570DAB">
      <w:pPr>
        <w:pStyle w:val="ssContents"/>
        <w:pageBreakBefore/>
      </w:pPr>
      <w:r w:rsidRPr="009F4300">
        <w:t>Contents</w:t>
      </w:r>
    </w:p>
    <w:bookmarkStart w:name="BMTOC" w:id="1"/>
    <w:p w:rsidR="00663122" w:rsidRDefault="00135C41" w14:paraId="06D53A8C" w14:textId="00016B12">
      <w:pPr>
        <w:pStyle w:val="TOC1"/>
        <w:rPr>
          <w:rFonts w:asciiTheme="minorHAnsi" w:hAnsiTheme="minorHAnsi" w:eastAsiaTheme="minorEastAsia"/>
          <w:noProof/>
          <w:kern w:val="2"/>
          <w:sz w:val="24"/>
          <w:szCs w:val="24"/>
          <w:lang w:eastAsia="zh-CN"/>
          <w14:ligatures w14:val="standardContextual"/>
        </w:rPr>
      </w:pPr>
      <w:r w:rsidRPr="009F4300">
        <w:rPr>
          <w:noProof/>
        </w:rPr>
        <w:fldChar w:fldCharType="begin"/>
      </w:r>
      <w:r w:rsidRPr="009F4300">
        <w:rPr>
          <w:noProof/>
        </w:rPr>
        <w:instrText xml:space="preserve"> TOC \h \z \t "Heading 1,1,</w:instrText>
      </w:r>
      <w:r w:rsidRPr="009F4300" w:rsidR="00337688">
        <w:instrText xml:space="preserve"> </w:instrText>
      </w:r>
      <w:r w:rsidRPr="009F4300" w:rsidR="00337688">
        <w:rPr>
          <w:noProof/>
        </w:rPr>
        <w:instrText>ssqToCAdd,1,</w:instrText>
      </w:r>
      <w:r w:rsidRPr="009F4300">
        <w:rPr>
          <w:noProof/>
        </w:rPr>
        <w:instrText xml:space="preserve">ssqAppendix,5,ssqExhibit,5,ssqPart,5,ssqSchedule,5,ssqSection,5,ssqAnnexe,5,ssqListe,5,ssqAgendar,5,ssqAllegato,5,ssqAnexo,5,ssqAnhang,5,ssqAnlage,5,ssqAnnex,5,ssqApéndice,5,ssqAppendice,5,ssqApresentar,5,ssqCalendario,5,ssqExibir,5,ssqTeil,5" </w:instrText>
      </w:r>
      <w:r w:rsidRPr="009F4300">
        <w:rPr>
          <w:noProof/>
        </w:rPr>
        <w:fldChar w:fldCharType="separate"/>
      </w:r>
      <w:hyperlink w:history="1" w:anchor="_Toc179391830">
        <w:r w:rsidRPr="00B26DF1" w:rsidR="00663122">
          <w:rPr>
            <w:rStyle w:val="Hyperlink"/>
            <w:rFonts w:eastAsia="SimSun"/>
            <w:noProof/>
          </w:rPr>
          <w:t>1.</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Definitions and Interpretation</w:t>
        </w:r>
        <w:r w:rsidR="00663122">
          <w:rPr>
            <w:noProof/>
            <w:webHidden/>
          </w:rPr>
          <w:tab/>
        </w:r>
        <w:r w:rsidR="00663122">
          <w:rPr>
            <w:noProof/>
            <w:webHidden/>
          </w:rPr>
          <w:fldChar w:fldCharType="begin"/>
        </w:r>
        <w:r w:rsidR="00663122">
          <w:rPr>
            <w:noProof/>
            <w:webHidden/>
          </w:rPr>
          <w:instrText xml:space="preserve"> PAGEREF _Toc179391830 \h </w:instrText>
        </w:r>
        <w:r w:rsidR="00663122">
          <w:rPr>
            <w:noProof/>
            <w:webHidden/>
          </w:rPr>
        </w:r>
        <w:r w:rsidR="00663122">
          <w:rPr>
            <w:noProof/>
            <w:webHidden/>
          </w:rPr>
          <w:fldChar w:fldCharType="separate"/>
        </w:r>
        <w:r w:rsidR="00663122">
          <w:rPr>
            <w:noProof/>
            <w:webHidden/>
          </w:rPr>
          <w:t>1</w:t>
        </w:r>
        <w:r w:rsidR="00663122">
          <w:rPr>
            <w:noProof/>
            <w:webHidden/>
          </w:rPr>
          <w:fldChar w:fldCharType="end"/>
        </w:r>
      </w:hyperlink>
    </w:p>
    <w:p w:rsidR="00663122" w:rsidRDefault="00E00B4F" w14:paraId="3D33B000" w14:textId="12A4830B">
      <w:pPr>
        <w:pStyle w:val="TOC1"/>
        <w:rPr>
          <w:rFonts w:asciiTheme="minorHAnsi" w:hAnsiTheme="minorHAnsi" w:eastAsiaTheme="minorEastAsia"/>
          <w:noProof/>
          <w:kern w:val="2"/>
          <w:sz w:val="24"/>
          <w:szCs w:val="24"/>
          <w:lang w:eastAsia="zh-CN"/>
          <w14:ligatures w14:val="standardContextual"/>
        </w:rPr>
      </w:pPr>
      <w:hyperlink w:history="1" w:anchor="_Toc179391831">
        <w:r w:rsidRPr="00B26DF1" w:rsidR="00663122">
          <w:rPr>
            <w:rStyle w:val="Hyperlink"/>
            <w:rFonts w:eastAsia="SimSun"/>
            <w:noProof/>
          </w:rPr>
          <w:t>2.</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Commencement</w:t>
        </w:r>
        <w:r w:rsidR="00663122">
          <w:rPr>
            <w:noProof/>
            <w:webHidden/>
          </w:rPr>
          <w:tab/>
        </w:r>
        <w:r w:rsidR="00663122">
          <w:rPr>
            <w:noProof/>
            <w:webHidden/>
          </w:rPr>
          <w:fldChar w:fldCharType="begin"/>
        </w:r>
        <w:r w:rsidR="00663122">
          <w:rPr>
            <w:noProof/>
            <w:webHidden/>
          </w:rPr>
          <w:instrText xml:space="preserve"> PAGEREF _Toc179391831 \h </w:instrText>
        </w:r>
        <w:r w:rsidR="00663122">
          <w:rPr>
            <w:noProof/>
            <w:webHidden/>
          </w:rPr>
        </w:r>
        <w:r w:rsidR="00663122">
          <w:rPr>
            <w:noProof/>
            <w:webHidden/>
          </w:rPr>
          <w:fldChar w:fldCharType="separate"/>
        </w:r>
        <w:r w:rsidR="00663122">
          <w:rPr>
            <w:noProof/>
            <w:webHidden/>
          </w:rPr>
          <w:t>6</w:t>
        </w:r>
        <w:r w:rsidR="00663122">
          <w:rPr>
            <w:noProof/>
            <w:webHidden/>
          </w:rPr>
          <w:fldChar w:fldCharType="end"/>
        </w:r>
      </w:hyperlink>
    </w:p>
    <w:p w:rsidR="00663122" w:rsidRDefault="00E00B4F" w14:paraId="02F3D11C" w14:textId="05131168">
      <w:pPr>
        <w:pStyle w:val="TOC1"/>
        <w:rPr>
          <w:rFonts w:asciiTheme="minorHAnsi" w:hAnsiTheme="minorHAnsi" w:eastAsiaTheme="minorEastAsia"/>
          <w:noProof/>
          <w:kern w:val="2"/>
          <w:sz w:val="24"/>
          <w:szCs w:val="24"/>
          <w:lang w:eastAsia="zh-CN"/>
          <w14:ligatures w14:val="standardContextual"/>
        </w:rPr>
      </w:pPr>
      <w:hyperlink w:history="1" w:anchor="_Toc179391832">
        <w:r w:rsidRPr="00B26DF1" w:rsidR="00663122">
          <w:rPr>
            <w:rStyle w:val="Hyperlink"/>
            <w:rFonts w:eastAsia="SimSun"/>
            <w:noProof/>
          </w:rPr>
          <w:t>3.</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Name of the Scheme</w:t>
        </w:r>
        <w:r w:rsidR="00663122">
          <w:rPr>
            <w:noProof/>
            <w:webHidden/>
          </w:rPr>
          <w:tab/>
        </w:r>
        <w:r w:rsidR="00663122">
          <w:rPr>
            <w:noProof/>
            <w:webHidden/>
          </w:rPr>
          <w:fldChar w:fldCharType="begin"/>
        </w:r>
        <w:r w:rsidR="00663122">
          <w:rPr>
            <w:noProof/>
            <w:webHidden/>
          </w:rPr>
          <w:instrText xml:space="preserve"> PAGEREF _Toc179391832 \h </w:instrText>
        </w:r>
        <w:r w:rsidR="00663122">
          <w:rPr>
            <w:noProof/>
            <w:webHidden/>
          </w:rPr>
        </w:r>
        <w:r w:rsidR="00663122">
          <w:rPr>
            <w:noProof/>
            <w:webHidden/>
          </w:rPr>
          <w:fldChar w:fldCharType="separate"/>
        </w:r>
        <w:r w:rsidR="00663122">
          <w:rPr>
            <w:noProof/>
            <w:webHidden/>
          </w:rPr>
          <w:t>6</w:t>
        </w:r>
        <w:r w:rsidR="00663122">
          <w:rPr>
            <w:noProof/>
            <w:webHidden/>
          </w:rPr>
          <w:fldChar w:fldCharType="end"/>
        </w:r>
      </w:hyperlink>
    </w:p>
    <w:p w:rsidR="00663122" w:rsidRDefault="00E00B4F" w14:paraId="5EA9E23B" w14:textId="6D2B5639">
      <w:pPr>
        <w:pStyle w:val="TOC1"/>
        <w:rPr>
          <w:rFonts w:asciiTheme="minorHAnsi" w:hAnsiTheme="minorHAnsi" w:eastAsiaTheme="minorEastAsia"/>
          <w:noProof/>
          <w:kern w:val="2"/>
          <w:sz w:val="24"/>
          <w:szCs w:val="24"/>
          <w:lang w:eastAsia="zh-CN"/>
          <w14:ligatures w14:val="standardContextual"/>
        </w:rPr>
      </w:pPr>
      <w:hyperlink w:history="1" w:anchor="_Toc179391833">
        <w:r w:rsidRPr="00B26DF1" w:rsidR="00663122">
          <w:rPr>
            <w:rStyle w:val="Hyperlink"/>
            <w:rFonts w:eastAsia="SimSun"/>
            <w:noProof/>
          </w:rPr>
          <w:t>4.</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Object of the Scheme</w:t>
        </w:r>
        <w:r w:rsidR="00663122">
          <w:rPr>
            <w:noProof/>
            <w:webHidden/>
          </w:rPr>
          <w:tab/>
        </w:r>
        <w:r w:rsidR="00663122">
          <w:rPr>
            <w:noProof/>
            <w:webHidden/>
          </w:rPr>
          <w:fldChar w:fldCharType="begin"/>
        </w:r>
        <w:r w:rsidR="00663122">
          <w:rPr>
            <w:noProof/>
            <w:webHidden/>
          </w:rPr>
          <w:instrText xml:space="preserve"> PAGEREF _Toc179391833 \h </w:instrText>
        </w:r>
        <w:r w:rsidR="00663122">
          <w:rPr>
            <w:noProof/>
            <w:webHidden/>
          </w:rPr>
        </w:r>
        <w:r w:rsidR="00663122">
          <w:rPr>
            <w:noProof/>
            <w:webHidden/>
          </w:rPr>
          <w:fldChar w:fldCharType="separate"/>
        </w:r>
        <w:r w:rsidR="00663122">
          <w:rPr>
            <w:noProof/>
            <w:webHidden/>
          </w:rPr>
          <w:t>6</w:t>
        </w:r>
        <w:r w:rsidR="00663122">
          <w:rPr>
            <w:noProof/>
            <w:webHidden/>
          </w:rPr>
          <w:fldChar w:fldCharType="end"/>
        </w:r>
      </w:hyperlink>
    </w:p>
    <w:p w:rsidR="00663122" w:rsidRDefault="00E00B4F" w14:paraId="3658E114" w14:textId="254EFF29">
      <w:pPr>
        <w:pStyle w:val="TOC1"/>
        <w:rPr>
          <w:rFonts w:asciiTheme="minorHAnsi" w:hAnsiTheme="minorHAnsi" w:eastAsiaTheme="minorEastAsia"/>
          <w:noProof/>
          <w:kern w:val="2"/>
          <w:sz w:val="24"/>
          <w:szCs w:val="24"/>
          <w:lang w:eastAsia="zh-CN"/>
          <w14:ligatures w14:val="standardContextual"/>
        </w:rPr>
      </w:pPr>
      <w:hyperlink w:history="1" w:anchor="_Toc179391834">
        <w:r w:rsidRPr="00B26DF1" w:rsidR="00663122">
          <w:rPr>
            <w:rStyle w:val="Hyperlink"/>
            <w:rFonts w:eastAsia="SimSun"/>
            <w:noProof/>
          </w:rPr>
          <w:t>5.</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Type of Scheme and Regulatory Designations</w:t>
        </w:r>
        <w:r w:rsidR="00663122">
          <w:rPr>
            <w:noProof/>
            <w:webHidden/>
          </w:rPr>
          <w:tab/>
        </w:r>
        <w:r w:rsidR="00663122">
          <w:rPr>
            <w:noProof/>
            <w:webHidden/>
          </w:rPr>
          <w:fldChar w:fldCharType="begin"/>
        </w:r>
        <w:r w:rsidR="00663122">
          <w:rPr>
            <w:noProof/>
            <w:webHidden/>
          </w:rPr>
          <w:instrText xml:space="preserve"> PAGEREF _Toc179391834 \h </w:instrText>
        </w:r>
        <w:r w:rsidR="00663122">
          <w:rPr>
            <w:noProof/>
            <w:webHidden/>
          </w:rPr>
        </w:r>
        <w:r w:rsidR="00663122">
          <w:rPr>
            <w:noProof/>
            <w:webHidden/>
          </w:rPr>
          <w:fldChar w:fldCharType="separate"/>
        </w:r>
        <w:r w:rsidR="00663122">
          <w:rPr>
            <w:noProof/>
            <w:webHidden/>
          </w:rPr>
          <w:t>6</w:t>
        </w:r>
        <w:r w:rsidR="00663122">
          <w:rPr>
            <w:noProof/>
            <w:webHidden/>
          </w:rPr>
          <w:fldChar w:fldCharType="end"/>
        </w:r>
      </w:hyperlink>
    </w:p>
    <w:p w:rsidR="00663122" w:rsidRDefault="00E00B4F" w14:paraId="0ABF9F79" w14:textId="4FE42D9C">
      <w:pPr>
        <w:pStyle w:val="TOC1"/>
        <w:rPr>
          <w:rFonts w:asciiTheme="minorHAnsi" w:hAnsiTheme="minorHAnsi" w:eastAsiaTheme="minorEastAsia"/>
          <w:noProof/>
          <w:kern w:val="2"/>
          <w:sz w:val="24"/>
          <w:szCs w:val="24"/>
          <w:lang w:eastAsia="zh-CN"/>
          <w14:ligatures w14:val="standardContextual"/>
        </w:rPr>
      </w:pPr>
      <w:hyperlink w:history="1" w:anchor="_Toc179391835">
        <w:r w:rsidRPr="00B26DF1" w:rsidR="00663122">
          <w:rPr>
            <w:rStyle w:val="Hyperlink"/>
            <w:rFonts w:eastAsia="SimSun"/>
            <w:noProof/>
          </w:rPr>
          <w:t>6.</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Deed Binding</w:t>
        </w:r>
        <w:r w:rsidR="00663122">
          <w:rPr>
            <w:noProof/>
            <w:webHidden/>
          </w:rPr>
          <w:tab/>
        </w:r>
        <w:r w:rsidR="00663122">
          <w:rPr>
            <w:noProof/>
            <w:webHidden/>
          </w:rPr>
          <w:fldChar w:fldCharType="begin"/>
        </w:r>
        <w:r w:rsidR="00663122">
          <w:rPr>
            <w:noProof/>
            <w:webHidden/>
          </w:rPr>
          <w:instrText xml:space="preserve"> PAGEREF _Toc179391835 \h </w:instrText>
        </w:r>
        <w:r w:rsidR="00663122">
          <w:rPr>
            <w:noProof/>
            <w:webHidden/>
          </w:rPr>
        </w:r>
        <w:r w:rsidR="00663122">
          <w:rPr>
            <w:noProof/>
            <w:webHidden/>
          </w:rPr>
          <w:fldChar w:fldCharType="separate"/>
        </w:r>
        <w:r w:rsidR="00663122">
          <w:rPr>
            <w:noProof/>
            <w:webHidden/>
          </w:rPr>
          <w:t>7</w:t>
        </w:r>
        <w:r w:rsidR="00663122">
          <w:rPr>
            <w:noProof/>
            <w:webHidden/>
          </w:rPr>
          <w:fldChar w:fldCharType="end"/>
        </w:r>
      </w:hyperlink>
    </w:p>
    <w:p w:rsidR="00663122" w:rsidRDefault="00E00B4F" w14:paraId="7455AB50" w14:textId="454A1355">
      <w:pPr>
        <w:pStyle w:val="TOC1"/>
        <w:rPr>
          <w:rFonts w:asciiTheme="minorHAnsi" w:hAnsiTheme="minorHAnsi" w:eastAsiaTheme="minorEastAsia"/>
          <w:noProof/>
          <w:kern w:val="2"/>
          <w:sz w:val="24"/>
          <w:szCs w:val="24"/>
          <w:lang w:eastAsia="zh-CN"/>
          <w14:ligatures w14:val="standardContextual"/>
        </w:rPr>
      </w:pPr>
      <w:hyperlink w:history="1" w:anchor="_Toc179391836">
        <w:r w:rsidRPr="00B26DF1" w:rsidR="00663122">
          <w:rPr>
            <w:rStyle w:val="Hyperlink"/>
            <w:rFonts w:eastAsia="SimSun"/>
            <w:noProof/>
          </w:rPr>
          <w:t>7.</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Manager</w:t>
        </w:r>
        <w:r w:rsidR="00663122">
          <w:rPr>
            <w:noProof/>
            <w:webHidden/>
          </w:rPr>
          <w:tab/>
        </w:r>
        <w:r w:rsidR="00663122">
          <w:rPr>
            <w:noProof/>
            <w:webHidden/>
          </w:rPr>
          <w:fldChar w:fldCharType="begin"/>
        </w:r>
        <w:r w:rsidR="00663122">
          <w:rPr>
            <w:noProof/>
            <w:webHidden/>
          </w:rPr>
          <w:instrText xml:space="preserve"> PAGEREF _Toc179391836 \h </w:instrText>
        </w:r>
        <w:r w:rsidR="00663122">
          <w:rPr>
            <w:noProof/>
            <w:webHidden/>
          </w:rPr>
        </w:r>
        <w:r w:rsidR="00663122">
          <w:rPr>
            <w:noProof/>
            <w:webHidden/>
          </w:rPr>
          <w:fldChar w:fldCharType="separate"/>
        </w:r>
        <w:r w:rsidR="00663122">
          <w:rPr>
            <w:noProof/>
            <w:webHidden/>
          </w:rPr>
          <w:t>8</w:t>
        </w:r>
        <w:r w:rsidR="00663122">
          <w:rPr>
            <w:noProof/>
            <w:webHidden/>
          </w:rPr>
          <w:fldChar w:fldCharType="end"/>
        </w:r>
      </w:hyperlink>
    </w:p>
    <w:p w:rsidR="00663122" w:rsidRDefault="00E00B4F" w14:paraId="159A0B69" w14:textId="52CD6146">
      <w:pPr>
        <w:pStyle w:val="TOC1"/>
        <w:rPr>
          <w:rFonts w:asciiTheme="minorHAnsi" w:hAnsiTheme="minorHAnsi" w:eastAsiaTheme="minorEastAsia"/>
          <w:noProof/>
          <w:kern w:val="2"/>
          <w:sz w:val="24"/>
          <w:szCs w:val="24"/>
          <w:lang w:eastAsia="zh-CN"/>
          <w14:ligatures w14:val="standardContextual"/>
        </w:rPr>
      </w:pPr>
      <w:hyperlink w:history="1" w:anchor="_Toc179391837">
        <w:r w:rsidRPr="00B26DF1" w:rsidR="00663122">
          <w:rPr>
            <w:rStyle w:val="Hyperlink"/>
            <w:rFonts w:eastAsia="SimSun"/>
            <w:noProof/>
          </w:rPr>
          <w:t>8.</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Depositary</w:t>
        </w:r>
        <w:r w:rsidR="00663122">
          <w:rPr>
            <w:noProof/>
            <w:webHidden/>
          </w:rPr>
          <w:tab/>
        </w:r>
        <w:r w:rsidR="00663122">
          <w:rPr>
            <w:noProof/>
            <w:webHidden/>
          </w:rPr>
          <w:fldChar w:fldCharType="begin"/>
        </w:r>
        <w:r w:rsidR="00663122">
          <w:rPr>
            <w:noProof/>
            <w:webHidden/>
          </w:rPr>
          <w:instrText xml:space="preserve"> PAGEREF _Toc179391837 \h </w:instrText>
        </w:r>
        <w:r w:rsidR="00663122">
          <w:rPr>
            <w:noProof/>
            <w:webHidden/>
          </w:rPr>
        </w:r>
        <w:r w:rsidR="00663122">
          <w:rPr>
            <w:noProof/>
            <w:webHidden/>
          </w:rPr>
          <w:fldChar w:fldCharType="separate"/>
        </w:r>
        <w:r w:rsidR="00663122">
          <w:rPr>
            <w:noProof/>
            <w:webHidden/>
          </w:rPr>
          <w:t>8</w:t>
        </w:r>
        <w:r w:rsidR="00663122">
          <w:rPr>
            <w:noProof/>
            <w:webHidden/>
          </w:rPr>
          <w:fldChar w:fldCharType="end"/>
        </w:r>
      </w:hyperlink>
    </w:p>
    <w:p w:rsidR="00663122" w:rsidRDefault="00E00B4F" w14:paraId="51B46B9F" w14:textId="66C09D9B">
      <w:pPr>
        <w:pStyle w:val="TOC1"/>
        <w:rPr>
          <w:rFonts w:asciiTheme="minorHAnsi" w:hAnsiTheme="minorHAnsi" w:eastAsiaTheme="minorEastAsia"/>
          <w:noProof/>
          <w:kern w:val="2"/>
          <w:sz w:val="24"/>
          <w:szCs w:val="24"/>
          <w:lang w:eastAsia="zh-CN"/>
          <w14:ligatures w14:val="standardContextual"/>
        </w:rPr>
      </w:pPr>
      <w:hyperlink w:history="1" w:anchor="_Toc179391838">
        <w:r w:rsidRPr="00B26DF1" w:rsidR="00663122">
          <w:rPr>
            <w:rStyle w:val="Hyperlink"/>
            <w:rFonts w:eastAsia="SimSun"/>
            <w:noProof/>
          </w:rPr>
          <w:t>9.</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Declaration</w:t>
        </w:r>
        <w:r w:rsidR="00663122">
          <w:rPr>
            <w:noProof/>
            <w:webHidden/>
          </w:rPr>
          <w:tab/>
        </w:r>
        <w:r w:rsidR="00663122">
          <w:rPr>
            <w:noProof/>
            <w:webHidden/>
          </w:rPr>
          <w:fldChar w:fldCharType="begin"/>
        </w:r>
        <w:r w:rsidR="00663122">
          <w:rPr>
            <w:noProof/>
            <w:webHidden/>
          </w:rPr>
          <w:instrText xml:space="preserve"> PAGEREF _Toc179391838 \h </w:instrText>
        </w:r>
        <w:r w:rsidR="00663122">
          <w:rPr>
            <w:noProof/>
            <w:webHidden/>
          </w:rPr>
        </w:r>
        <w:r w:rsidR="00663122">
          <w:rPr>
            <w:noProof/>
            <w:webHidden/>
          </w:rPr>
          <w:fldChar w:fldCharType="separate"/>
        </w:r>
        <w:r w:rsidR="00663122">
          <w:rPr>
            <w:noProof/>
            <w:webHidden/>
          </w:rPr>
          <w:t>8</w:t>
        </w:r>
        <w:r w:rsidR="00663122">
          <w:rPr>
            <w:noProof/>
            <w:webHidden/>
          </w:rPr>
          <w:fldChar w:fldCharType="end"/>
        </w:r>
      </w:hyperlink>
    </w:p>
    <w:p w:rsidR="00663122" w:rsidRDefault="00E00B4F" w14:paraId="1191A09C" w14:textId="2290E661">
      <w:pPr>
        <w:pStyle w:val="TOC1"/>
        <w:rPr>
          <w:rFonts w:asciiTheme="minorHAnsi" w:hAnsiTheme="minorHAnsi" w:eastAsiaTheme="minorEastAsia"/>
          <w:noProof/>
          <w:kern w:val="2"/>
          <w:sz w:val="24"/>
          <w:szCs w:val="24"/>
          <w:lang w:eastAsia="zh-CN"/>
          <w14:ligatures w14:val="standardContextual"/>
        </w:rPr>
      </w:pPr>
      <w:hyperlink w:history="1" w:anchor="_Toc179391839">
        <w:r w:rsidRPr="00B26DF1" w:rsidR="00663122">
          <w:rPr>
            <w:rStyle w:val="Hyperlink"/>
            <w:rFonts w:eastAsia="SimSun"/>
            <w:noProof/>
          </w:rPr>
          <w:t>10.</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The Regulations</w:t>
        </w:r>
        <w:r w:rsidR="00663122">
          <w:rPr>
            <w:noProof/>
            <w:webHidden/>
          </w:rPr>
          <w:tab/>
        </w:r>
        <w:r w:rsidR="00663122">
          <w:rPr>
            <w:noProof/>
            <w:webHidden/>
          </w:rPr>
          <w:fldChar w:fldCharType="begin"/>
        </w:r>
        <w:r w:rsidR="00663122">
          <w:rPr>
            <w:noProof/>
            <w:webHidden/>
          </w:rPr>
          <w:instrText xml:space="preserve"> PAGEREF _Toc179391839 \h </w:instrText>
        </w:r>
        <w:r w:rsidR="00663122">
          <w:rPr>
            <w:noProof/>
            <w:webHidden/>
          </w:rPr>
        </w:r>
        <w:r w:rsidR="00663122">
          <w:rPr>
            <w:noProof/>
            <w:webHidden/>
          </w:rPr>
          <w:fldChar w:fldCharType="separate"/>
        </w:r>
        <w:r w:rsidR="00663122">
          <w:rPr>
            <w:noProof/>
            <w:webHidden/>
          </w:rPr>
          <w:t>9</w:t>
        </w:r>
        <w:r w:rsidR="00663122">
          <w:rPr>
            <w:noProof/>
            <w:webHidden/>
          </w:rPr>
          <w:fldChar w:fldCharType="end"/>
        </w:r>
      </w:hyperlink>
    </w:p>
    <w:p w:rsidR="00663122" w:rsidRDefault="00E00B4F" w14:paraId="1ACB3F17" w14:textId="219F2FCC">
      <w:pPr>
        <w:pStyle w:val="TOC1"/>
        <w:rPr>
          <w:rFonts w:asciiTheme="minorHAnsi" w:hAnsiTheme="minorHAnsi" w:eastAsiaTheme="minorEastAsia"/>
          <w:noProof/>
          <w:kern w:val="2"/>
          <w:sz w:val="24"/>
          <w:szCs w:val="24"/>
          <w:lang w:eastAsia="zh-CN"/>
          <w14:ligatures w14:val="standardContextual"/>
        </w:rPr>
      </w:pPr>
      <w:hyperlink w:history="1" w:anchor="_Toc179391840">
        <w:r w:rsidRPr="00B26DF1" w:rsidR="00663122">
          <w:rPr>
            <w:rStyle w:val="Hyperlink"/>
            <w:rFonts w:eastAsia="SimSun"/>
            <w:noProof/>
          </w:rPr>
          <w:t>11.</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Powers of Manager and Depositary</w:t>
        </w:r>
        <w:r w:rsidR="00663122">
          <w:rPr>
            <w:noProof/>
            <w:webHidden/>
          </w:rPr>
          <w:tab/>
        </w:r>
        <w:r w:rsidR="00663122">
          <w:rPr>
            <w:noProof/>
            <w:webHidden/>
          </w:rPr>
          <w:fldChar w:fldCharType="begin"/>
        </w:r>
        <w:r w:rsidR="00663122">
          <w:rPr>
            <w:noProof/>
            <w:webHidden/>
          </w:rPr>
          <w:instrText xml:space="preserve"> PAGEREF _Toc179391840 \h </w:instrText>
        </w:r>
        <w:r w:rsidR="00663122">
          <w:rPr>
            <w:noProof/>
            <w:webHidden/>
          </w:rPr>
        </w:r>
        <w:r w:rsidR="00663122">
          <w:rPr>
            <w:noProof/>
            <w:webHidden/>
          </w:rPr>
          <w:fldChar w:fldCharType="separate"/>
        </w:r>
        <w:r w:rsidR="00663122">
          <w:rPr>
            <w:noProof/>
            <w:webHidden/>
          </w:rPr>
          <w:t>9</w:t>
        </w:r>
        <w:r w:rsidR="00663122">
          <w:rPr>
            <w:noProof/>
            <w:webHidden/>
          </w:rPr>
          <w:fldChar w:fldCharType="end"/>
        </w:r>
      </w:hyperlink>
    </w:p>
    <w:p w:rsidR="00663122" w:rsidRDefault="00E00B4F" w14:paraId="02401499" w14:textId="5EEE92EE">
      <w:pPr>
        <w:pStyle w:val="TOC1"/>
        <w:rPr>
          <w:rFonts w:asciiTheme="minorHAnsi" w:hAnsiTheme="minorHAnsi" w:eastAsiaTheme="minorEastAsia"/>
          <w:noProof/>
          <w:kern w:val="2"/>
          <w:sz w:val="24"/>
          <w:szCs w:val="24"/>
          <w:lang w:eastAsia="zh-CN"/>
          <w14:ligatures w14:val="standardContextual"/>
        </w:rPr>
      </w:pPr>
      <w:hyperlink w:history="1" w:anchor="_Toc179391841">
        <w:r w:rsidRPr="00B26DF1" w:rsidR="00663122">
          <w:rPr>
            <w:rStyle w:val="Hyperlink"/>
            <w:rFonts w:eastAsia="SimSun"/>
            <w:noProof/>
          </w:rPr>
          <w:t>12.</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Eligibility of Investors</w:t>
        </w:r>
        <w:r w:rsidR="00663122">
          <w:rPr>
            <w:noProof/>
            <w:webHidden/>
          </w:rPr>
          <w:tab/>
        </w:r>
        <w:r w:rsidR="00663122">
          <w:rPr>
            <w:noProof/>
            <w:webHidden/>
          </w:rPr>
          <w:fldChar w:fldCharType="begin"/>
        </w:r>
        <w:r w:rsidR="00663122">
          <w:rPr>
            <w:noProof/>
            <w:webHidden/>
          </w:rPr>
          <w:instrText xml:space="preserve"> PAGEREF _Toc179391841 \h </w:instrText>
        </w:r>
        <w:r w:rsidR="00663122">
          <w:rPr>
            <w:noProof/>
            <w:webHidden/>
          </w:rPr>
        </w:r>
        <w:r w:rsidR="00663122">
          <w:rPr>
            <w:noProof/>
            <w:webHidden/>
          </w:rPr>
          <w:fldChar w:fldCharType="separate"/>
        </w:r>
        <w:r w:rsidR="00663122">
          <w:rPr>
            <w:noProof/>
            <w:webHidden/>
          </w:rPr>
          <w:t>10</w:t>
        </w:r>
        <w:r w:rsidR="00663122">
          <w:rPr>
            <w:noProof/>
            <w:webHidden/>
          </w:rPr>
          <w:fldChar w:fldCharType="end"/>
        </w:r>
      </w:hyperlink>
    </w:p>
    <w:p w:rsidR="00663122" w:rsidRDefault="00E00B4F" w14:paraId="6F62F0BE" w14:textId="4DB20591">
      <w:pPr>
        <w:pStyle w:val="TOC1"/>
        <w:rPr>
          <w:rFonts w:asciiTheme="minorHAnsi" w:hAnsiTheme="minorHAnsi" w:eastAsiaTheme="minorEastAsia"/>
          <w:noProof/>
          <w:kern w:val="2"/>
          <w:sz w:val="24"/>
          <w:szCs w:val="24"/>
          <w:lang w:eastAsia="zh-CN"/>
          <w14:ligatures w14:val="standardContextual"/>
        </w:rPr>
      </w:pPr>
      <w:hyperlink w:history="1" w:anchor="_Toc179391842">
        <w:r w:rsidRPr="00B26DF1" w:rsidR="00663122">
          <w:rPr>
            <w:rStyle w:val="Hyperlink"/>
            <w:rFonts w:eastAsia="SimSun"/>
            <w:noProof/>
          </w:rPr>
          <w:t>13.</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Unitholders</w:t>
        </w:r>
        <w:r w:rsidR="00663122">
          <w:rPr>
            <w:noProof/>
            <w:webHidden/>
          </w:rPr>
          <w:tab/>
        </w:r>
        <w:r w:rsidR="00663122">
          <w:rPr>
            <w:noProof/>
            <w:webHidden/>
          </w:rPr>
          <w:fldChar w:fldCharType="begin"/>
        </w:r>
        <w:r w:rsidR="00663122">
          <w:rPr>
            <w:noProof/>
            <w:webHidden/>
          </w:rPr>
          <w:instrText xml:space="preserve"> PAGEREF _Toc179391842 \h </w:instrText>
        </w:r>
        <w:r w:rsidR="00663122">
          <w:rPr>
            <w:noProof/>
            <w:webHidden/>
          </w:rPr>
        </w:r>
        <w:r w:rsidR="00663122">
          <w:rPr>
            <w:noProof/>
            <w:webHidden/>
          </w:rPr>
          <w:fldChar w:fldCharType="separate"/>
        </w:r>
        <w:r w:rsidR="00663122">
          <w:rPr>
            <w:noProof/>
            <w:webHidden/>
          </w:rPr>
          <w:t>12</w:t>
        </w:r>
        <w:r w:rsidR="00663122">
          <w:rPr>
            <w:noProof/>
            <w:webHidden/>
          </w:rPr>
          <w:fldChar w:fldCharType="end"/>
        </w:r>
      </w:hyperlink>
    </w:p>
    <w:p w:rsidR="00663122" w:rsidRDefault="00E00B4F" w14:paraId="41BAADF3" w14:textId="7C925BE7">
      <w:pPr>
        <w:pStyle w:val="TOC1"/>
        <w:rPr>
          <w:rFonts w:asciiTheme="minorHAnsi" w:hAnsiTheme="minorHAnsi" w:eastAsiaTheme="minorEastAsia"/>
          <w:noProof/>
          <w:kern w:val="2"/>
          <w:sz w:val="24"/>
          <w:szCs w:val="24"/>
          <w:lang w:eastAsia="zh-CN"/>
          <w14:ligatures w14:val="standardContextual"/>
        </w:rPr>
      </w:pPr>
      <w:hyperlink w:history="1" w:anchor="_Toc179391843">
        <w:r w:rsidRPr="00B26DF1" w:rsidR="00663122">
          <w:rPr>
            <w:rStyle w:val="Hyperlink"/>
            <w:rFonts w:eastAsia="SimSun"/>
            <w:noProof/>
          </w:rPr>
          <w:t>14.</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Base Currency</w:t>
        </w:r>
        <w:r w:rsidR="00663122">
          <w:rPr>
            <w:noProof/>
            <w:webHidden/>
          </w:rPr>
          <w:tab/>
        </w:r>
        <w:r w:rsidR="00663122">
          <w:rPr>
            <w:noProof/>
            <w:webHidden/>
          </w:rPr>
          <w:fldChar w:fldCharType="begin"/>
        </w:r>
        <w:r w:rsidR="00663122">
          <w:rPr>
            <w:noProof/>
            <w:webHidden/>
          </w:rPr>
          <w:instrText xml:space="preserve"> PAGEREF _Toc179391843 \h </w:instrText>
        </w:r>
        <w:r w:rsidR="00663122">
          <w:rPr>
            <w:noProof/>
            <w:webHidden/>
          </w:rPr>
        </w:r>
        <w:r w:rsidR="00663122">
          <w:rPr>
            <w:noProof/>
            <w:webHidden/>
          </w:rPr>
          <w:fldChar w:fldCharType="separate"/>
        </w:r>
        <w:r w:rsidR="00663122">
          <w:rPr>
            <w:noProof/>
            <w:webHidden/>
          </w:rPr>
          <w:t>13</w:t>
        </w:r>
        <w:r w:rsidR="00663122">
          <w:rPr>
            <w:noProof/>
            <w:webHidden/>
          </w:rPr>
          <w:fldChar w:fldCharType="end"/>
        </w:r>
      </w:hyperlink>
    </w:p>
    <w:p w:rsidR="00663122" w:rsidRDefault="00E00B4F" w14:paraId="31B016AC" w14:textId="7FCC5FFD">
      <w:pPr>
        <w:pStyle w:val="TOC1"/>
        <w:rPr>
          <w:rFonts w:asciiTheme="minorHAnsi" w:hAnsiTheme="minorHAnsi" w:eastAsiaTheme="minorEastAsia"/>
          <w:noProof/>
          <w:kern w:val="2"/>
          <w:sz w:val="24"/>
          <w:szCs w:val="24"/>
          <w:lang w:eastAsia="zh-CN"/>
          <w14:ligatures w14:val="standardContextual"/>
        </w:rPr>
      </w:pPr>
      <w:hyperlink w:history="1" w:anchor="_Toc179391844">
        <w:r w:rsidRPr="00B26DF1" w:rsidR="00663122">
          <w:rPr>
            <w:rStyle w:val="Hyperlink"/>
            <w:rFonts w:eastAsia="SimSun"/>
            <w:noProof/>
          </w:rPr>
          <w:t>15.</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Classes of Units and Preferential Treatment</w:t>
        </w:r>
        <w:r w:rsidR="00663122">
          <w:rPr>
            <w:noProof/>
            <w:webHidden/>
          </w:rPr>
          <w:tab/>
        </w:r>
        <w:r w:rsidR="00663122">
          <w:rPr>
            <w:noProof/>
            <w:webHidden/>
          </w:rPr>
          <w:fldChar w:fldCharType="begin"/>
        </w:r>
        <w:r w:rsidR="00663122">
          <w:rPr>
            <w:noProof/>
            <w:webHidden/>
          </w:rPr>
          <w:instrText xml:space="preserve"> PAGEREF _Toc179391844 \h </w:instrText>
        </w:r>
        <w:r w:rsidR="00663122">
          <w:rPr>
            <w:noProof/>
            <w:webHidden/>
          </w:rPr>
        </w:r>
        <w:r w:rsidR="00663122">
          <w:rPr>
            <w:noProof/>
            <w:webHidden/>
          </w:rPr>
          <w:fldChar w:fldCharType="separate"/>
        </w:r>
        <w:r w:rsidR="00663122">
          <w:rPr>
            <w:noProof/>
            <w:webHidden/>
          </w:rPr>
          <w:t>13</w:t>
        </w:r>
        <w:r w:rsidR="00663122">
          <w:rPr>
            <w:noProof/>
            <w:webHidden/>
          </w:rPr>
          <w:fldChar w:fldCharType="end"/>
        </w:r>
      </w:hyperlink>
    </w:p>
    <w:p w:rsidR="00663122" w:rsidRDefault="00E00B4F" w14:paraId="4B62A4B1" w14:textId="0E7F5303">
      <w:pPr>
        <w:pStyle w:val="TOC1"/>
        <w:rPr>
          <w:rFonts w:asciiTheme="minorHAnsi" w:hAnsiTheme="minorHAnsi" w:eastAsiaTheme="minorEastAsia"/>
          <w:noProof/>
          <w:kern w:val="2"/>
          <w:sz w:val="24"/>
          <w:szCs w:val="24"/>
          <w:lang w:eastAsia="zh-CN"/>
          <w14:ligatures w14:val="standardContextual"/>
        </w:rPr>
      </w:pPr>
      <w:hyperlink w:history="1" w:anchor="_Toc179391845">
        <w:r w:rsidRPr="00B26DF1" w:rsidR="00663122">
          <w:rPr>
            <w:rStyle w:val="Hyperlink"/>
            <w:rFonts w:eastAsia="SimSun"/>
            <w:noProof/>
            <w:spacing w:val="-2"/>
          </w:rPr>
          <w:t>16.</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spacing w:val="-2"/>
          </w:rPr>
          <w:t>[Side pockets]</w:t>
        </w:r>
        <w:r w:rsidR="00663122">
          <w:rPr>
            <w:noProof/>
            <w:webHidden/>
          </w:rPr>
          <w:tab/>
        </w:r>
        <w:r w:rsidR="00663122">
          <w:rPr>
            <w:noProof/>
            <w:webHidden/>
          </w:rPr>
          <w:fldChar w:fldCharType="begin"/>
        </w:r>
        <w:r w:rsidR="00663122">
          <w:rPr>
            <w:noProof/>
            <w:webHidden/>
          </w:rPr>
          <w:instrText xml:space="preserve"> PAGEREF _Toc179391845 \h </w:instrText>
        </w:r>
        <w:r w:rsidR="00663122">
          <w:rPr>
            <w:noProof/>
            <w:webHidden/>
          </w:rPr>
        </w:r>
        <w:r w:rsidR="00663122">
          <w:rPr>
            <w:noProof/>
            <w:webHidden/>
          </w:rPr>
          <w:fldChar w:fldCharType="separate"/>
        </w:r>
        <w:r w:rsidR="00663122">
          <w:rPr>
            <w:noProof/>
            <w:webHidden/>
          </w:rPr>
          <w:t>15</w:t>
        </w:r>
        <w:r w:rsidR="00663122">
          <w:rPr>
            <w:noProof/>
            <w:webHidden/>
          </w:rPr>
          <w:fldChar w:fldCharType="end"/>
        </w:r>
      </w:hyperlink>
    </w:p>
    <w:p w:rsidR="00663122" w:rsidRDefault="00E00B4F" w14:paraId="2254FCD5" w14:textId="15FE4B32">
      <w:pPr>
        <w:pStyle w:val="TOC1"/>
        <w:rPr>
          <w:rFonts w:asciiTheme="minorHAnsi" w:hAnsiTheme="minorHAnsi" w:eastAsiaTheme="minorEastAsia"/>
          <w:noProof/>
          <w:kern w:val="2"/>
          <w:sz w:val="24"/>
          <w:szCs w:val="24"/>
          <w:lang w:eastAsia="zh-CN"/>
          <w14:ligatures w14:val="standardContextual"/>
        </w:rPr>
      </w:pPr>
      <w:hyperlink w:history="1" w:anchor="_Toc179391846">
        <w:r w:rsidRPr="00B26DF1" w:rsidR="00663122">
          <w:rPr>
            <w:rStyle w:val="Hyperlink"/>
            <w:rFonts w:eastAsia="SimSun"/>
            <w:noProof/>
          </w:rPr>
          <w:t>17.</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Switching and Conversion of Units</w:t>
        </w:r>
        <w:r w:rsidR="00663122">
          <w:rPr>
            <w:noProof/>
            <w:webHidden/>
          </w:rPr>
          <w:tab/>
        </w:r>
        <w:r w:rsidR="00663122">
          <w:rPr>
            <w:noProof/>
            <w:webHidden/>
          </w:rPr>
          <w:fldChar w:fldCharType="begin"/>
        </w:r>
        <w:r w:rsidR="00663122">
          <w:rPr>
            <w:noProof/>
            <w:webHidden/>
          </w:rPr>
          <w:instrText xml:space="preserve"> PAGEREF _Toc179391846 \h </w:instrText>
        </w:r>
        <w:r w:rsidR="00663122">
          <w:rPr>
            <w:noProof/>
            <w:webHidden/>
          </w:rPr>
        </w:r>
        <w:r w:rsidR="00663122">
          <w:rPr>
            <w:noProof/>
            <w:webHidden/>
          </w:rPr>
          <w:fldChar w:fldCharType="separate"/>
        </w:r>
        <w:r w:rsidR="00663122">
          <w:rPr>
            <w:noProof/>
            <w:webHidden/>
          </w:rPr>
          <w:t>15</w:t>
        </w:r>
        <w:r w:rsidR="00663122">
          <w:rPr>
            <w:noProof/>
            <w:webHidden/>
          </w:rPr>
          <w:fldChar w:fldCharType="end"/>
        </w:r>
      </w:hyperlink>
    </w:p>
    <w:p w:rsidR="00663122" w:rsidRDefault="00E00B4F" w14:paraId="31744BC0" w14:textId="0ADFE8F0">
      <w:pPr>
        <w:pStyle w:val="TOC1"/>
        <w:rPr>
          <w:rFonts w:asciiTheme="minorHAnsi" w:hAnsiTheme="minorHAnsi" w:eastAsiaTheme="minorEastAsia"/>
          <w:noProof/>
          <w:kern w:val="2"/>
          <w:sz w:val="24"/>
          <w:szCs w:val="24"/>
          <w:lang w:eastAsia="zh-CN"/>
          <w14:ligatures w14:val="standardContextual"/>
        </w:rPr>
      </w:pPr>
      <w:hyperlink w:history="1" w:anchor="_Toc179391847">
        <w:r w:rsidRPr="00B26DF1" w:rsidR="00663122">
          <w:rPr>
            <w:rStyle w:val="Hyperlink"/>
            <w:rFonts w:eastAsia="SimSun"/>
            <w:noProof/>
          </w:rPr>
          <w:t>18.</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Register and Issue of Units</w:t>
        </w:r>
        <w:r w:rsidR="00663122">
          <w:rPr>
            <w:noProof/>
            <w:webHidden/>
          </w:rPr>
          <w:tab/>
        </w:r>
        <w:r w:rsidR="00663122">
          <w:rPr>
            <w:noProof/>
            <w:webHidden/>
          </w:rPr>
          <w:fldChar w:fldCharType="begin"/>
        </w:r>
        <w:r w:rsidR="00663122">
          <w:rPr>
            <w:noProof/>
            <w:webHidden/>
          </w:rPr>
          <w:instrText xml:space="preserve"> PAGEREF _Toc179391847 \h </w:instrText>
        </w:r>
        <w:r w:rsidR="00663122">
          <w:rPr>
            <w:noProof/>
            <w:webHidden/>
          </w:rPr>
        </w:r>
        <w:r w:rsidR="00663122">
          <w:rPr>
            <w:noProof/>
            <w:webHidden/>
          </w:rPr>
          <w:fldChar w:fldCharType="separate"/>
        </w:r>
        <w:r w:rsidR="00663122">
          <w:rPr>
            <w:noProof/>
            <w:webHidden/>
          </w:rPr>
          <w:t>16</w:t>
        </w:r>
        <w:r w:rsidR="00663122">
          <w:rPr>
            <w:noProof/>
            <w:webHidden/>
          </w:rPr>
          <w:fldChar w:fldCharType="end"/>
        </w:r>
      </w:hyperlink>
    </w:p>
    <w:p w:rsidR="00663122" w:rsidRDefault="00E00B4F" w14:paraId="558ACC75" w14:textId="54CB75C9">
      <w:pPr>
        <w:pStyle w:val="TOC1"/>
        <w:rPr>
          <w:rFonts w:asciiTheme="minorHAnsi" w:hAnsiTheme="minorHAnsi" w:eastAsiaTheme="minorEastAsia"/>
          <w:noProof/>
          <w:kern w:val="2"/>
          <w:sz w:val="24"/>
          <w:szCs w:val="24"/>
          <w:lang w:eastAsia="zh-CN"/>
          <w14:ligatures w14:val="standardContextual"/>
        </w:rPr>
      </w:pPr>
      <w:hyperlink w:history="1" w:anchor="_Toc179391848">
        <w:r w:rsidRPr="00B26DF1" w:rsidR="00663122">
          <w:rPr>
            <w:rStyle w:val="Hyperlink"/>
            <w:rFonts w:eastAsia="SimSun"/>
            <w:noProof/>
          </w:rPr>
          <w:t>19.</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Valuation and Pricing</w:t>
        </w:r>
        <w:r w:rsidR="00663122">
          <w:rPr>
            <w:noProof/>
            <w:webHidden/>
          </w:rPr>
          <w:tab/>
        </w:r>
        <w:r w:rsidR="00663122">
          <w:rPr>
            <w:noProof/>
            <w:webHidden/>
          </w:rPr>
          <w:fldChar w:fldCharType="begin"/>
        </w:r>
        <w:r w:rsidR="00663122">
          <w:rPr>
            <w:noProof/>
            <w:webHidden/>
          </w:rPr>
          <w:instrText xml:space="preserve"> PAGEREF _Toc179391848 \h </w:instrText>
        </w:r>
        <w:r w:rsidR="00663122">
          <w:rPr>
            <w:noProof/>
            <w:webHidden/>
          </w:rPr>
        </w:r>
        <w:r w:rsidR="00663122">
          <w:rPr>
            <w:noProof/>
            <w:webHidden/>
          </w:rPr>
          <w:fldChar w:fldCharType="separate"/>
        </w:r>
        <w:r w:rsidR="00663122">
          <w:rPr>
            <w:noProof/>
            <w:webHidden/>
          </w:rPr>
          <w:t>16</w:t>
        </w:r>
        <w:r w:rsidR="00663122">
          <w:rPr>
            <w:noProof/>
            <w:webHidden/>
          </w:rPr>
          <w:fldChar w:fldCharType="end"/>
        </w:r>
      </w:hyperlink>
    </w:p>
    <w:p w:rsidR="00663122" w:rsidRDefault="00E00B4F" w14:paraId="48D277D3" w14:textId="397EAEC0">
      <w:pPr>
        <w:pStyle w:val="TOC1"/>
        <w:rPr>
          <w:rFonts w:asciiTheme="minorHAnsi" w:hAnsiTheme="minorHAnsi" w:eastAsiaTheme="minorEastAsia"/>
          <w:noProof/>
          <w:kern w:val="2"/>
          <w:sz w:val="24"/>
          <w:szCs w:val="24"/>
          <w:lang w:eastAsia="zh-CN"/>
          <w14:ligatures w14:val="standardContextual"/>
        </w:rPr>
      </w:pPr>
      <w:hyperlink w:history="1" w:anchor="_Toc179391849">
        <w:r w:rsidRPr="00B26DF1" w:rsidR="00663122">
          <w:rPr>
            <w:rStyle w:val="Hyperlink"/>
            <w:rFonts w:eastAsia="SimSun"/>
            <w:noProof/>
          </w:rPr>
          <w:t>20.</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Issue and Cancellation of Units</w:t>
        </w:r>
        <w:r w:rsidR="00663122">
          <w:rPr>
            <w:noProof/>
            <w:webHidden/>
          </w:rPr>
          <w:tab/>
        </w:r>
        <w:r w:rsidR="00663122">
          <w:rPr>
            <w:noProof/>
            <w:webHidden/>
          </w:rPr>
          <w:fldChar w:fldCharType="begin"/>
        </w:r>
        <w:r w:rsidR="00663122">
          <w:rPr>
            <w:noProof/>
            <w:webHidden/>
          </w:rPr>
          <w:instrText xml:space="preserve"> PAGEREF _Toc179391849 \h </w:instrText>
        </w:r>
        <w:r w:rsidR="00663122">
          <w:rPr>
            <w:noProof/>
            <w:webHidden/>
          </w:rPr>
        </w:r>
        <w:r w:rsidR="00663122">
          <w:rPr>
            <w:noProof/>
            <w:webHidden/>
          </w:rPr>
          <w:fldChar w:fldCharType="separate"/>
        </w:r>
        <w:r w:rsidR="00663122">
          <w:rPr>
            <w:noProof/>
            <w:webHidden/>
          </w:rPr>
          <w:t>17</w:t>
        </w:r>
        <w:r w:rsidR="00663122">
          <w:rPr>
            <w:noProof/>
            <w:webHidden/>
          </w:rPr>
          <w:fldChar w:fldCharType="end"/>
        </w:r>
      </w:hyperlink>
    </w:p>
    <w:p w:rsidR="00663122" w:rsidRDefault="00E00B4F" w14:paraId="4D4BB2E4" w14:textId="1FB39ADF">
      <w:pPr>
        <w:pStyle w:val="TOC1"/>
        <w:rPr>
          <w:rFonts w:asciiTheme="minorHAnsi" w:hAnsiTheme="minorHAnsi" w:eastAsiaTheme="minorEastAsia"/>
          <w:noProof/>
          <w:kern w:val="2"/>
          <w:sz w:val="24"/>
          <w:szCs w:val="24"/>
          <w:lang w:eastAsia="zh-CN"/>
          <w14:ligatures w14:val="standardContextual"/>
        </w:rPr>
      </w:pPr>
      <w:hyperlink w:history="1" w:anchor="_Toc179391850">
        <w:r w:rsidRPr="00B26DF1" w:rsidR="00663122">
          <w:rPr>
            <w:rStyle w:val="Hyperlink"/>
            <w:rFonts w:eastAsia="SimSun"/>
            <w:noProof/>
          </w:rPr>
          <w:t>21.</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In Specie Issue and Cancellation</w:t>
        </w:r>
        <w:r w:rsidR="00663122">
          <w:rPr>
            <w:noProof/>
            <w:webHidden/>
          </w:rPr>
          <w:tab/>
        </w:r>
        <w:r w:rsidR="00663122">
          <w:rPr>
            <w:noProof/>
            <w:webHidden/>
          </w:rPr>
          <w:fldChar w:fldCharType="begin"/>
        </w:r>
        <w:r w:rsidR="00663122">
          <w:rPr>
            <w:noProof/>
            <w:webHidden/>
          </w:rPr>
          <w:instrText xml:space="preserve"> PAGEREF _Toc179391850 \h </w:instrText>
        </w:r>
        <w:r w:rsidR="00663122">
          <w:rPr>
            <w:noProof/>
            <w:webHidden/>
          </w:rPr>
        </w:r>
        <w:r w:rsidR="00663122">
          <w:rPr>
            <w:noProof/>
            <w:webHidden/>
          </w:rPr>
          <w:fldChar w:fldCharType="separate"/>
        </w:r>
        <w:r w:rsidR="00663122">
          <w:rPr>
            <w:noProof/>
            <w:webHidden/>
          </w:rPr>
          <w:t>17</w:t>
        </w:r>
        <w:r w:rsidR="00663122">
          <w:rPr>
            <w:noProof/>
            <w:webHidden/>
          </w:rPr>
          <w:fldChar w:fldCharType="end"/>
        </w:r>
      </w:hyperlink>
    </w:p>
    <w:p w:rsidR="00663122" w:rsidRDefault="00E00B4F" w14:paraId="6C1ABB7A" w14:textId="194ED02A">
      <w:pPr>
        <w:pStyle w:val="TOC1"/>
        <w:rPr>
          <w:rFonts w:asciiTheme="minorHAnsi" w:hAnsiTheme="minorHAnsi" w:eastAsiaTheme="minorEastAsia"/>
          <w:noProof/>
          <w:kern w:val="2"/>
          <w:sz w:val="24"/>
          <w:szCs w:val="24"/>
          <w:lang w:eastAsia="zh-CN"/>
          <w14:ligatures w14:val="standardContextual"/>
        </w:rPr>
      </w:pPr>
      <w:hyperlink w:history="1" w:anchor="_Toc179391851">
        <w:r w:rsidRPr="00B26DF1" w:rsidR="00663122">
          <w:rPr>
            <w:rStyle w:val="Hyperlink"/>
            <w:rFonts w:eastAsia="SimSun"/>
            <w:noProof/>
          </w:rPr>
          <w:t>22.</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Sale and Redemption of Units</w:t>
        </w:r>
        <w:r w:rsidR="00663122">
          <w:rPr>
            <w:noProof/>
            <w:webHidden/>
          </w:rPr>
          <w:tab/>
        </w:r>
        <w:r w:rsidR="00663122">
          <w:rPr>
            <w:noProof/>
            <w:webHidden/>
          </w:rPr>
          <w:fldChar w:fldCharType="begin"/>
        </w:r>
        <w:r w:rsidR="00663122">
          <w:rPr>
            <w:noProof/>
            <w:webHidden/>
          </w:rPr>
          <w:instrText xml:space="preserve"> PAGEREF _Toc179391851 \h </w:instrText>
        </w:r>
        <w:r w:rsidR="00663122">
          <w:rPr>
            <w:noProof/>
            <w:webHidden/>
          </w:rPr>
        </w:r>
        <w:r w:rsidR="00663122">
          <w:rPr>
            <w:noProof/>
            <w:webHidden/>
          </w:rPr>
          <w:fldChar w:fldCharType="separate"/>
        </w:r>
        <w:r w:rsidR="00663122">
          <w:rPr>
            <w:noProof/>
            <w:webHidden/>
          </w:rPr>
          <w:t>17</w:t>
        </w:r>
        <w:r w:rsidR="00663122">
          <w:rPr>
            <w:noProof/>
            <w:webHidden/>
          </w:rPr>
          <w:fldChar w:fldCharType="end"/>
        </w:r>
      </w:hyperlink>
    </w:p>
    <w:p w:rsidR="00663122" w:rsidRDefault="00E00B4F" w14:paraId="589731AD" w14:textId="31DC7623">
      <w:pPr>
        <w:pStyle w:val="TOC1"/>
        <w:rPr>
          <w:rFonts w:asciiTheme="minorHAnsi" w:hAnsiTheme="minorHAnsi" w:eastAsiaTheme="minorEastAsia"/>
          <w:noProof/>
          <w:kern w:val="2"/>
          <w:sz w:val="24"/>
          <w:szCs w:val="24"/>
          <w:lang w:eastAsia="zh-CN"/>
          <w14:ligatures w14:val="standardContextual"/>
        </w:rPr>
      </w:pPr>
      <w:hyperlink w:history="1" w:anchor="_Toc179391852">
        <w:r w:rsidRPr="00B26DF1" w:rsidR="00663122">
          <w:rPr>
            <w:rStyle w:val="Hyperlink"/>
            <w:rFonts w:eastAsia="SimSun"/>
            <w:noProof/>
          </w:rPr>
          <w:t>23.</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Transfers of Units</w:t>
        </w:r>
        <w:r w:rsidR="00663122">
          <w:rPr>
            <w:noProof/>
            <w:webHidden/>
          </w:rPr>
          <w:tab/>
        </w:r>
        <w:r w:rsidR="00663122">
          <w:rPr>
            <w:noProof/>
            <w:webHidden/>
          </w:rPr>
          <w:fldChar w:fldCharType="begin"/>
        </w:r>
        <w:r w:rsidR="00663122">
          <w:rPr>
            <w:noProof/>
            <w:webHidden/>
          </w:rPr>
          <w:instrText xml:space="preserve"> PAGEREF _Toc179391852 \h </w:instrText>
        </w:r>
        <w:r w:rsidR="00663122">
          <w:rPr>
            <w:noProof/>
            <w:webHidden/>
          </w:rPr>
        </w:r>
        <w:r w:rsidR="00663122">
          <w:rPr>
            <w:noProof/>
            <w:webHidden/>
          </w:rPr>
          <w:fldChar w:fldCharType="separate"/>
        </w:r>
        <w:r w:rsidR="00663122">
          <w:rPr>
            <w:noProof/>
            <w:webHidden/>
          </w:rPr>
          <w:t>19</w:t>
        </w:r>
        <w:r w:rsidR="00663122">
          <w:rPr>
            <w:noProof/>
            <w:webHidden/>
          </w:rPr>
          <w:fldChar w:fldCharType="end"/>
        </w:r>
      </w:hyperlink>
    </w:p>
    <w:p w:rsidR="00663122" w:rsidRDefault="00E00B4F" w14:paraId="3B59AB84" w14:textId="084119DE">
      <w:pPr>
        <w:pStyle w:val="TOC1"/>
        <w:rPr>
          <w:rFonts w:asciiTheme="minorHAnsi" w:hAnsiTheme="minorHAnsi" w:eastAsiaTheme="minorEastAsia"/>
          <w:noProof/>
          <w:kern w:val="2"/>
          <w:sz w:val="24"/>
          <w:szCs w:val="24"/>
          <w:lang w:eastAsia="zh-CN"/>
          <w14:ligatures w14:val="standardContextual"/>
        </w:rPr>
      </w:pPr>
      <w:hyperlink w:history="1" w:anchor="_Toc179391853">
        <w:r w:rsidRPr="00B26DF1" w:rsidR="00663122">
          <w:rPr>
            <w:rStyle w:val="Hyperlink"/>
            <w:rFonts w:eastAsia="SimSun"/>
            <w:noProof/>
          </w:rPr>
          <w:t>24.</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Income</w:t>
        </w:r>
        <w:r w:rsidR="00663122">
          <w:rPr>
            <w:noProof/>
            <w:webHidden/>
          </w:rPr>
          <w:tab/>
        </w:r>
        <w:r w:rsidR="00663122">
          <w:rPr>
            <w:noProof/>
            <w:webHidden/>
          </w:rPr>
          <w:fldChar w:fldCharType="begin"/>
        </w:r>
        <w:r w:rsidR="00663122">
          <w:rPr>
            <w:noProof/>
            <w:webHidden/>
          </w:rPr>
          <w:instrText xml:space="preserve"> PAGEREF _Toc179391853 \h </w:instrText>
        </w:r>
        <w:r w:rsidR="00663122">
          <w:rPr>
            <w:noProof/>
            <w:webHidden/>
          </w:rPr>
        </w:r>
        <w:r w:rsidR="00663122">
          <w:rPr>
            <w:noProof/>
            <w:webHidden/>
          </w:rPr>
          <w:fldChar w:fldCharType="separate"/>
        </w:r>
        <w:r w:rsidR="00663122">
          <w:rPr>
            <w:noProof/>
            <w:webHidden/>
          </w:rPr>
          <w:t>19</w:t>
        </w:r>
        <w:r w:rsidR="00663122">
          <w:rPr>
            <w:noProof/>
            <w:webHidden/>
          </w:rPr>
          <w:fldChar w:fldCharType="end"/>
        </w:r>
      </w:hyperlink>
    </w:p>
    <w:p w:rsidR="00663122" w:rsidRDefault="00E00B4F" w14:paraId="7A15AF7B" w14:textId="7B3FEE41">
      <w:pPr>
        <w:pStyle w:val="TOC1"/>
        <w:rPr>
          <w:rFonts w:asciiTheme="minorHAnsi" w:hAnsiTheme="minorHAnsi" w:eastAsiaTheme="minorEastAsia"/>
          <w:noProof/>
          <w:kern w:val="2"/>
          <w:sz w:val="24"/>
          <w:szCs w:val="24"/>
          <w:lang w:eastAsia="zh-CN"/>
          <w14:ligatures w14:val="standardContextual"/>
        </w:rPr>
      </w:pPr>
      <w:hyperlink w:history="1" w:anchor="_Toc179391854">
        <w:r w:rsidRPr="00B26DF1" w:rsidR="00663122">
          <w:rPr>
            <w:rStyle w:val="Hyperlink"/>
            <w:rFonts w:eastAsia="SimSun"/>
            <w:noProof/>
          </w:rPr>
          <w:t>25.</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[Income Equalisation]</w:t>
        </w:r>
        <w:r w:rsidR="00663122">
          <w:rPr>
            <w:noProof/>
            <w:webHidden/>
          </w:rPr>
          <w:tab/>
        </w:r>
        <w:r w:rsidR="00663122">
          <w:rPr>
            <w:noProof/>
            <w:webHidden/>
          </w:rPr>
          <w:fldChar w:fldCharType="begin"/>
        </w:r>
        <w:r w:rsidR="00663122">
          <w:rPr>
            <w:noProof/>
            <w:webHidden/>
          </w:rPr>
          <w:instrText xml:space="preserve"> PAGEREF _Toc179391854 \h </w:instrText>
        </w:r>
        <w:r w:rsidR="00663122">
          <w:rPr>
            <w:noProof/>
            <w:webHidden/>
          </w:rPr>
        </w:r>
        <w:r w:rsidR="00663122">
          <w:rPr>
            <w:noProof/>
            <w:webHidden/>
          </w:rPr>
          <w:fldChar w:fldCharType="separate"/>
        </w:r>
        <w:r w:rsidR="00663122">
          <w:rPr>
            <w:noProof/>
            <w:webHidden/>
          </w:rPr>
          <w:t>20</w:t>
        </w:r>
        <w:r w:rsidR="00663122">
          <w:rPr>
            <w:noProof/>
            <w:webHidden/>
          </w:rPr>
          <w:fldChar w:fldCharType="end"/>
        </w:r>
      </w:hyperlink>
    </w:p>
    <w:p w:rsidR="00663122" w:rsidRDefault="00E00B4F" w14:paraId="2CF9FB4B" w14:textId="46D6EFE5">
      <w:pPr>
        <w:pStyle w:val="TOC1"/>
        <w:rPr>
          <w:rFonts w:asciiTheme="minorHAnsi" w:hAnsiTheme="minorHAnsi" w:eastAsiaTheme="minorEastAsia"/>
          <w:noProof/>
          <w:kern w:val="2"/>
          <w:sz w:val="24"/>
          <w:szCs w:val="24"/>
          <w:lang w:eastAsia="zh-CN"/>
          <w14:ligatures w14:val="standardContextual"/>
        </w:rPr>
      </w:pPr>
      <w:hyperlink w:history="1" w:anchor="_Toc179391855">
        <w:r w:rsidRPr="00B26DF1" w:rsidR="00663122">
          <w:rPr>
            <w:rStyle w:val="Hyperlink"/>
            <w:rFonts w:eastAsia="SimSun"/>
            <w:noProof/>
          </w:rPr>
          <w:t>26.</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 xml:space="preserve">Manager and Depositary </w:t>
        </w:r>
        <w:r w:rsidRPr="00B26DF1" w:rsidR="00663122">
          <w:rPr>
            <w:rStyle w:val="Hyperlink"/>
            <w:rFonts w:eastAsia="SimSun"/>
            <w:noProof/>
            <w:w w:val="0"/>
          </w:rPr>
          <w:t>Charges and Expenses</w:t>
        </w:r>
        <w:r w:rsidR="00663122">
          <w:rPr>
            <w:noProof/>
            <w:webHidden/>
          </w:rPr>
          <w:tab/>
        </w:r>
        <w:r w:rsidR="00663122">
          <w:rPr>
            <w:noProof/>
            <w:webHidden/>
          </w:rPr>
          <w:fldChar w:fldCharType="begin"/>
        </w:r>
        <w:r w:rsidR="00663122">
          <w:rPr>
            <w:noProof/>
            <w:webHidden/>
          </w:rPr>
          <w:instrText xml:space="preserve"> PAGEREF _Toc179391855 \h </w:instrText>
        </w:r>
        <w:r w:rsidR="00663122">
          <w:rPr>
            <w:noProof/>
            <w:webHidden/>
          </w:rPr>
        </w:r>
        <w:r w:rsidR="00663122">
          <w:rPr>
            <w:noProof/>
            <w:webHidden/>
          </w:rPr>
          <w:fldChar w:fldCharType="separate"/>
        </w:r>
        <w:r w:rsidR="00663122">
          <w:rPr>
            <w:noProof/>
            <w:webHidden/>
          </w:rPr>
          <w:t>21</w:t>
        </w:r>
        <w:r w:rsidR="00663122">
          <w:rPr>
            <w:noProof/>
            <w:webHidden/>
          </w:rPr>
          <w:fldChar w:fldCharType="end"/>
        </w:r>
      </w:hyperlink>
    </w:p>
    <w:p w:rsidR="00663122" w:rsidRDefault="00E00B4F" w14:paraId="0D2A3E99" w14:textId="0FAA0770">
      <w:pPr>
        <w:pStyle w:val="TOC1"/>
        <w:rPr>
          <w:rFonts w:asciiTheme="minorHAnsi" w:hAnsiTheme="minorHAnsi" w:eastAsiaTheme="minorEastAsia"/>
          <w:noProof/>
          <w:kern w:val="2"/>
          <w:sz w:val="24"/>
          <w:szCs w:val="24"/>
          <w:lang w:eastAsia="zh-CN"/>
          <w14:ligatures w14:val="standardContextual"/>
        </w:rPr>
      </w:pPr>
      <w:hyperlink w:history="1" w:anchor="_Toc179391856">
        <w:r w:rsidRPr="00B26DF1" w:rsidR="00663122">
          <w:rPr>
            <w:rStyle w:val="Hyperlink"/>
            <w:rFonts w:eastAsia="SimSun"/>
            <w:noProof/>
          </w:rPr>
          <w:t>27.</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Scheme Property</w:t>
        </w:r>
        <w:r w:rsidR="00663122">
          <w:rPr>
            <w:noProof/>
            <w:webHidden/>
          </w:rPr>
          <w:tab/>
        </w:r>
        <w:r w:rsidR="00663122">
          <w:rPr>
            <w:noProof/>
            <w:webHidden/>
          </w:rPr>
          <w:fldChar w:fldCharType="begin"/>
        </w:r>
        <w:r w:rsidR="00663122">
          <w:rPr>
            <w:noProof/>
            <w:webHidden/>
          </w:rPr>
          <w:instrText xml:space="preserve"> PAGEREF _Toc179391856 \h </w:instrText>
        </w:r>
        <w:r w:rsidR="00663122">
          <w:rPr>
            <w:noProof/>
            <w:webHidden/>
          </w:rPr>
        </w:r>
        <w:r w:rsidR="00663122">
          <w:rPr>
            <w:noProof/>
            <w:webHidden/>
          </w:rPr>
          <w:fldChar w:fldCharType="separate"/>
        </w:r>
        <w:r w:rsidR="00663122">
          <w:rPr>
            <w:noProof/>
            <w:webHidden/>
          </w:rPr>
          <w:t>22</w:t>
        </w:r>
        <w:r w:rsidR="00663122">
          <w:rPr>
            <w:noProof/>
            <w:webHidden/>
          </w:rPr>
          <w:fldChar w:fldCharType="end"/>
        </w:r>
      </w:hyperlink>
    </w:p>
    <w:p w:rsidR="00663122" w:rsidRDefault="00E00B4F" w14:paraId="28B01899" w14:textId="15B17135">
      <w:pPr>
        <w:pStyle w:val="TOC1"/>
        <w:rPr>
          <w:rFonts w:asciiTheme="minorHAnsi" w:hAnsiTheme="minorHAnsi" w:eastAsiaTheme="minorEastAsia"/>
          <w:noProof/>
          <w:kern w:val="2"/>
          <w:sz w:val="24"/>
          <w:szCs w:val="24"/>
          <w:lang w:eastAsia="zh-CN"/>
          <w14:ligatures w14:val="standardContextual"/>
        </w:rPr>
      </w:pPr>
      <w:hyperlink w:history="1" w:anchor="_Toc179391857">
        <w:r w:rsidRPr="00B26DF1" w:rsidR="00663122">
          <w:rPr>
            <w:rStyle w:val="Hyperlink"/>
            <w:rFonts w:eastAsia="SimSun"/>
            <w:noProof/>
          </w:rPr>
          <w:t>28.</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Proceedings and Voting at Meetings</w:t>
        </w:r>
        <w:r w:rsidR="00663122">
          <w:rPr>
            <w:noProof/>
            <w:webHidden/>
          </w:rPr>
          <w:tab/>
        </w:r>
        <w:r w:rsidR="00663122">
          <w:rPr>
            <w:noProof/>
            <w:webHidden/>
          </w:rPr>
          <w:fldChar w:fldCharType="begin"/>
        </w:r>
        <w:r w:rsidR="00663122">
          <w:rPr>
            <w:noProof/>
            <w:webHidden/>
          </w:rPr>
          <w:instrText xml:space="preserve"> PAGEREF _Toc179391857 \h </w:instrText>
        </w:r>
        <w:r w:rsidR="00663122">
          <w:rPr>
            <w:noProof/>
            <w:webHidden/>
          </w:rPr>
        </w:r>
        <w:r w:rsidR="00663122">
          <w:rPr>
            <w:noProof/>
            <w:webHidden/>
          </w:rPr>
          <w:fldChar w:fldCharType="separate"/>
        </w:r>
        <w:r w:rsidR="00663122">
          <w:rPr>
            <w:noProof/>
            <w:webHidden/>
          </w:rPr>
          <w:t>22</w:t>
        </w:r>
        <w:r w:rsidR="00663122">
          <w:rPr>
            <w:noProof/>
            <w:webHidden/>
          </w:rPr>
          <w:fldChar w:fldCharType="end"/>
        </w:r>
      </w:hyperlink>
    </w:p>
    <w:p w:rsidR="00663122" w:rsidRDefault="00E00B4F" w14:paraId="06AC7516" w14:textId="0889E677">
      <w:pPr>
        <w:pStyle w:val="TOC1"/>
        <w:rPr>
          <w:rFonts w:asciiTheme="minorHAnsi" w:hAnsiTheme="minorHAnsi" w:eastAsiaTheme="minorEastAsia"/>
          <w:noProof/>
          <w:kern w:val="2"/>
          <w:sz w:val="24"/>
          <w:szCs w:val="24"/>
          <w:lang w:eastAsia="zh-CN"/>
          <w14:ligatures w14:val="standardContextual"/>
        </w:rPr>
      </w:pPr>
      <w:hyperlink w:history="1" w:anchor="_Toc179391858">
        <w:r w:rsidRPr="00B26DF1" w:rsidR="00663122">
          <w:rPr>
            <w:rStyle w:val="Hyperlink"/>
            <w:rFonts w:eastAsia="SimSun"/>
            <w:noProof/>
          </w:rPr>
          <w:t>29.</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Destruction of Documents</w:t>
        </w:r>
        <w:r w:rsidR="00663122">
          <w:rPr>
            <w:noProof/>
            <w:webHidden/>
          </w:rPr>
          <w:tab/>
        </w:r>
        <w:r w:rsidR="00663122">
          <w:rPr>
            <w:noProof/>
            <w:webHidden/>
          </w:rPr>
          <w:fldChar w:fldCharType="begin"/>
        </w:r>
        <w:r w:rsidR="00663122">
          <w:rPr>
            <w:noProof/>
            <w:webHidden/>
          </w:rPr>
          <w:instrText xml:space="preserve"> PAGEREF _Toc179391858 \h </w:instrText>
        </w:r>
        <w:r w:rsidR="00663122">
          <w:rPr>
            <w:noProof/>
            <w:webHidden/>
          </w:rPr>
        </w:r>
        <w:r w:rsidR="00663122">
          <w:rPr>
            <w:noProof/>
            <w:webHidden/>
          </w:rPr>
          <w:fldChar w:fldCharType="separate"/>
        </w:r>
        <w:r w:rsidR="00663122">
          <w:rPr>
            <w:noProof/>
            <w:webHidden/>
          </w:rPr>
          <w:t>23</w:t>
        </w:r>
        <w:r w:rsidR="00663122">
          <w:rPr>
            <w:noProof/>
            <w:webHidden/>
          </w:rPr>
          <w:fldChar w:fldCharType="end"/>
        </w:r>
      </w:hyperlink>
    </w:p>
    <w:p w:rsidR="00663122" w:rsidRDefault="00E00B4F" w14:paraId="211475C1" w14:textId="031F46B0">
      <w:pPr>
        <w:pStyle w:val="TOC1"/>
        <w:rPr>
          <w:rFonts w:asciiTheme="minorHAnsi" w:hAnsiTheme="minorHAnsi" w:eastAsiaTheme="minorEastAsia"/>
          <w:noProof/>
          <w:kern w:val="2"/>
          <w:sz w:val="24"/>
          <w:szCs w:val="24"/>
          <w:lang w:eastAsia="zh-CN"/>
          <w14:ligatures w14:val="standardContextual"/>
        </w:rPr>
      </w:pPr>
      <w:hyperlink w:history="1" w:anchor="_Toc179391859">
        <w:r w:rsidRPr="00B26DF1" w:rsidR="00663122">
          <w:rPr>
            <w:rStyle w:val="Hyperlink"/>
            <w:rFonts w:eastAsia="SimSun"/>
            <w:noProof/>
          </w:rPr>
          <w:t>30.</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Taxation of Unitholders</w:t>
        </w:r>
        <w:r w:rsidR="00663122">
          <w:rPr>
            <w:noProof/>
            <w:webHidden/>
          </w:rPr>
          <w:tab/>
        </w:r>
        <w:r w:rsidR="00663122">
          <w:rPr>
            <w:noProof/>
            <w:webHidden/>
          </w:rPr>
          <w:fldChar w:fldCharType="begin"/>
        </w:r>
        <w:r w:rsidR="00663122">
          <w:rPr>
            <w:noProof/>
            <w:webHidden/>
          </w:rPr>
          <w:instrText xml:space="preserve"> PAGEREF _Toc179391859 \h </w:instrText>
        </w:r>
        <w:r w:rsidR="00663122">
          <w:rPr>
            <w:noProof/>
            <w:webHidden/>
          </w:rPr>
        </w:r>
        <w:r w:rsidR="00663122">
          <w:rPr>
            <w:noProof/>
            <w:webHidden/>
          </w:rPr>
          <w:fldChar w:fldCharType="separate"/>
        </w:r>
        <w:r w:rsidR="00663122">
          <w:rPr>
            <w:noProof/>
            <w:webHidden/>
          </w:rPr>
          <w:t>23</w:t>
        </w:r>
        <w:r w:rsidR="00663122">
          <w:rPr>
            <w:noProof/>
            <w:webHidden/>
          </w:rPr>
          <w:fldChar w:fldCharType="end"/>
        </w:r>
      </w:hyperlink>
    </w:p>
    <w:p w:rsidR="00663122" w:rsidRDefault="00E00B4F" w14:paraId="28F63FC3" w14:textId="47144C93">
      <w:pPr>
        <w:pStyle w:val="TOC1"/>
        <w:rPr>
          <w:rFonts w:asciiTheme="minorHAnsi" w:hAnsiTheme="minorHAnsi" w:eastAsiaTheme="minorEastAsia"/>
          <w:noProof/>
          <w:kern w:val="2"/>
          <w:sz w:val="24"/>
          <w:szCs w:val="24"/>
          <w:lang w:eastAsia="zh-CN"/>
          <w14:ligatures w14:val="standardContextual"/>
        </w:rPr>
      </w:pPr>
      <w:hyperlink w:history="1" w:anchor="_Toc179391860">
        <w:r w:rsidRPr="00B26DF1" w:rsidR="00663122">
          <w:rPr>
            <w:rStyle w:val="Hyperlink"/>
            <w:rFonts w:eastAsia="SimSun"/>
            <w:noProof/>
          </w:rPr>
          <w:t>31.</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Tax Information</w:t>
        </w:r>
        <w:r w:rsidR="00663122">
          <w:rPr>
            <w:noProof/>
            <w:webHidden/>
          </w:rPr>
          <w:tab/>
        </w:r>
        <w:r w:rsidR="00663122">
          <w:rPr>
            <w:noProof/>
            <w:webHidden/>
          </w:rPr>
          <w:fldChar w:fldCharType="begin"/>
        </w:r>
        <w:r w:rsidR="00663122">
          <w:rPr>
            <w:noProof/>
            <w:webHidden/>
          </w:rPr>
          <w:instrText xml:space="preserve"> PAGEREF _Toc179391860 \h </w:instrText>
        </w:r>
        <w:r w:rsidR="00663122">
          <w:rPr>
            <w:noProof/>
            <w:webHidden/>
          </w:rPr>
        </w:r>
        <w:r w:rsidR="00663122">
          <w:rPr>
            <w:noProof/>
            <w:webHidden/>
          </w:rPr>
          <w:fldChar w:fldCharType="separate"/>
        </w:r>
        <w:r w:rsidR="00663122">
          <w:rPr>
            <w:noProof/>
            <w:webHidden/>
          </w:rPr>
          <w:t>24</w:t>
        </w:r>
        <w:r w:rsidR="00663122">
          <w:rPr>
            <w:noProof/>
            <w:webHidden/>
          </w:rPr>
          <w:fldChar w:fldCharType="end"/>
        </w:r>
      </w:hyperlink>
    </w:p>
    <w:p w:rsidR="00663122" w:rsidRDefault="00E00B4F" w14:paraId="09F8DCBB" w14:textId="4DE07314">
      <w:pPr>
        <w:pStyle w:val="TOC1"/>
        <w:rPr>
          <w:rFonts w:asciiTheme="minorHAnsi" w:hAnsiTheme="minorHAnsi" w:eastAsiaTheme="minorEastAsia"/>
          <w:noProof/>
          <w:kern w:val="2"/>
          <w:sz w:val="24"/>
          <w:szCs w:val="24"/>
          <w:lang w:eastAsia="zh-CN"/>
          <w14:ligatures w14:val="standardContextual"/>
        </w:rPr>
      </w:pPr>
      <w:hyperlink w:history="1" w:anchor="_Toc179391861">
        <w:r w:rsidRPr="00B26DF1" w:rsidR="00663122">
          <w:rPr>
            <w:rStyle w:val="Hyperlink"/>
            <w:rFonts w:eastAsia="SimSun"/>
            <w:noProof/>
          </w:rPr>
          <w:t>32.</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[Depositary Discharge of Liability</w:t>
        </w:r>
        <w:r w:rsidR="00663122">
          <w:rPr>
            <w:noProof/>
            <w:webHidden/>
          </w:rPr>
          <w:tab/>
        </w:r>
        <w:r w:rsidR="00663122">
          <w:rPr>
            <w:noProof/>
            <w:webHidden/>
          </w:rPr>
          <w:fldChar w:fldCharType="begin"/>
        </w:r>
        <w:r w:rsidR="00663122">
          <w:rPr>
            <w:noProof/>
            <w:webHidden/>
          </w:rPr>
          <w:instrText xml:space="preserve"> PAGEREF _Toc179391861 \h </w:instrText>
        </w:r>
        <w:r w:rsidR="00663122">
          <w:rPr>
            <w:noProof/>
            <w:webHidden/>
          </w:rPr>
        </w:r>
        <w:r w:rsidR="00663122">
          <w:rPr>
            <w:noProof/>
            <w:webHidden/>
          </w:rPr>
          <w:fldChar w:fldCharType="separate"/>
        </w:r>
        <w:r w:rsidR="00663122">
          <w:rPr>
            <w:noProof/>
            <w:webHidden/>
          </w:rPr>
          <w:t>24</w:t>
        </w:r>
        <w:r w:rsidR="00663122">
          <w:rPr>
            <w:noProof/>
            <w:webHidden/>
          </w:rPr>
          <w:fldChar w:fldCharType="end"/>
        </w:r>
      </w:hyperlink>
    </w:p>
    <w:p w:rsidR="00663122" w:rsidRDefault="00E00B4F" w14:paraId="2B38B0F3" w14:textId="18A598AE">
      <w:pPr>
        <w:pStyle w:val="TOC1"/>
        <w:rPr>
          <w:rFonts w:asciiTheme="minorHAnsi" w:hAnsiTheme="minorHAnsi" w:eastAsiaTheme="minorEastAsia"/>
          <w:noProof/>
          <w:kern w:val="2"/>
          <w:sz w:val="24"/>
          <w:szCs w:val="24"/>
          <w:lang w:eastAsia="zh-CN"/>
          <w14:ligatures w14:val="standardContextual"/>
        </w:rPr>
      </w:pPr>
      <w:hyperlink w:history="1" w:anchor="_Toc179391862">
        <w:r w:rsidRPr="00B26DF1" w:rsidR="00663122">
          <w:rPr>
            <w:rStyle w:val="Hyperlink"/>
            <w:rFonts w:eastAsia="SimSun"/>
            <w:noProof/>
          </w:rPr>
          <w:t>33.</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[Availability of Information and Periodic Disclosures</w:t>
        </w:r>
        <w:r w:rsidR="00663122">
          <w:rPr>
            <w:noProof/>
            <w:webHidden/>
          </w:rPr>
          <w:tab/>
        </w:r>
        <w:r w:rsidR="00663122">
          <w:rPr>
            <w:noProof/>
            <w:webHidden/>
          </w:rPr>
          <w:fldChar w:fldCharType="begin"/>
        </w:r>
        <w:r w:rsidR="00663122">
          <w:rPr>
            <w:noProof/>
            <w:webHidden/>
          </w:rPr>
          <w:instrText xml:space="preserve"> PAGEREF _Toc179391862 \h </w:instrText>
        </w:r>
        <w:r w:rsidR="00663122">
          <w:rPr>
            <w:noProof/>
            <w:webHidden/>
          </w:rPr>
        </w:r>
        <w:r w:rsidR="00663122">
          <w:rPr>
            <w:noProof/>
            <w:webHidden/>
          </w:rPr>
          <w:fldChar w:fldCharType="separate"/>
        </w:r>
        <w:r w:rsidR="00663122">
          <w:rPr>
            <w:noProof/>
            <w:webHidden/>
          </w:rPr>
          <w:t>24</w:t>
        </w:r>
        <w:r w:rsidR="00663122">
          <w:rPr>
            <w:noProof/>
            <w:webHidden/>
          </w:rPr>
          <w:fldChar w:fldCharType="end"/>
        </w:r>
      </w:hyperlink>
    </w:p>
    <w:p w:rsidR="00663122" w:rsidRDefault="00E00B4F" w14:paraId="38E92AE7" w14:textId="28DCEE11">
      <w:pPr>
        <w:pStyle w:val="TOC1"/>
        <w:rPr>
          <w:rFonts w:asciiTheme="minorHAnsi" w:hAnsiTheme="minorHAnsi" w:eastAsiaTheme="minorEastAsia"/>
          <w:noProof/>
          <w:kern w:val="2"/>
          <w:sz w:val="24"/>
          <w:szCs w:val="24"/>
          <w:lang w:eastAsia="zh-CN"/>
          <w14:ligatures w14:val="standardContextual"/>
        </w:rPr>
      </w:pPr>
      <w:hyperlink w:history="1" w:anchor="_Toc179391863">
        <w:r w:rsidRPr="00B26DF1" w:rsidR="00663122">
          <w:rPr>
            <w:rStyle w:val="Hyperlink"/>
            <w:rFonts w:eastAsia="SimSun"/>
            <w:noProof/>
          </w:rPr>
          <w:t>34.</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Amendments</w:t>
        </w:r>
        <w:r w:rsidR="00663122">
          <w:rPr>
            <w:noProof/>
            <w:webHidden/>
          </w:rPr>
          <w:tab/>
        </w:r>
        <w:r w:rsidR="00663122">
          <w:rPr>
            <w:noProof/>
            <w:webHidden/>
          </w:rPr>
          <w:fldChar w:fldCharType="begin"/>
        </w:r>
        <w:r w:rsidR="00663122">
          <w:rPr>
            <w:noProof/>
            <w:webHidden/>
          </w:rPr>
          <w:instrText xml:space="preserve"> PAGEREF _Toc179391863 \h </w:instrText>
        </w:r>
        <w:r w:rsidR="00663122">
          <w:rPr>
            <w:noProof/>
            <w:webHidden/>
          </w:rPr>
        </w:r>
        <w:r w:rsidR="00663122">
          <w:rPr>
            <w:noProof/>
            <w:webHidden/>
          </w:rPr>
          <w:fldChar w:fldCharType="separate"/>
        </w:r>
        <w:r w:rsidR="00663122">
          <w:rPr>
            <w:noProof/>
            <w:webHidden/>
          </w:rPr>
          <w:t>25</w:t>
        </w:r>
        <w:r w:rsidR="00663122">
          <w:rPr>
            <w:noProof/>
            <w:webHidden/>
          </w:rPr>
          <w:fldChar w:fldCharType="end"/>
        </w:r>
      </w:hyperlink>
    </w:p>
    <w:p w:rsidR="00663122" w:rsidRDefault="00E00B4F" w14:paraId="641FA47A" w14:textId="3B07B7F4">
      <w:pPr>
        <w:pStyle w:val="TOC1"/>
        <w:rPr>
          <w:rFonts w:asciiTheme="minorHAnsi" w:hAnsiTheme="minorHAnsi" w:eastAsiaTheme="minorEastAsia"/>
          <w:noProof/>
          <w:kern w:val="2"/>
          <w:sz w:val="24"/>
          <w:szCs w:val="24"/>
          <w:lang w:eastAsia="zh-CN"/>
          <w14:ligatures w14:val="standardContextual"/>
        </w:rPr>
      </w:pPr>
      <w:hyperlink w:history="1" w:anchor="_Toc179391864">
        <w:r w:rsidRPr="00B26DF1" w:rsidR="00663122">
          <w:rPr>
            <w:rStyle w:val="Hyperlink"/>
            <w:rFonts w:eastAsia="SimSun"/>
            <w:noProof/>
          </w:rPr>
          <w:t>35.</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Winding Up</w:t>
        </w:r>
        <w:r w:rsidR="00663122">
          <w:rPr>
            <w:noProof/>
            <w:webHidden/>
          </w:rPr>
          <w:tab/>
        </w:r>
        <w:r w:rsidR="00663122">
          <w:rPr>
            <w:noProof/>
            <w:webHidden/>
          </w:rPr>
          <w:fldChar w:fldCharType="begin"/>
        </w:r>
        <w:r w:rsidR="00663122">
          <w:rPr>
            <w:noProof/>
            <w:webHidden/>
          </w:rPr>
          <w:instrText xml:space="preserve"> PAGEREF _Toc179391864 \h </w:instrText>
        </w:r>
        <w:r w:rsidR="00663122">
          <w:rPr>
            <w:noProof/>
            <w:webHidden/>
          </w:rPr>
        </w:r>
        <w:r w:rsidR="00663122">
          <w:rPr>
            <w:noProof/>
            <w:webHidden/>
          </w:rPr>
          <w:fldChar w:fldCharType="separate"/>
        </w:r>
        <w:r w:rsidR="00663122">
          <w:rPr>
            <w:noProof/>
            <w:webHidden/>
          </w:rPr>
          <w:t>25</w:t>
        </w:r>
        <w:r w:rsidR="00663122">
          <w:rPr>
            <w:noProof/>
            <w:webHidden/>
          </w:rPr>
          <w:fldChar w:fldCharType="end"/>
        </w:r>
      </w:hyperlink>
    </w:p>
    <w:p w:rsidR="00663122" w:rsidRDefault="00E00B4F" w14:paraId="2CF5BDE1" w14:textId="7323B7F4">
      <w:pPr>
        <w:pStyle w:val="TOC1"/>
        <w:rPr>
          <w:rFonts w:asciiTheme="minorHAnsi" w:hAnsiTheme="minorHAnsi" w:eastAsiaTheme="minorEastAsia"/>
          <w:noProof/>
          <w:kern w:val="2"/>
          <w:sz w:val="24"/>
          <w:szCs w:val="24"/>
          <w:lang w:eastAsia="zh-CN"/>
          <w14:ligatures w14:val="standardContextual"/>
        </w:rPr>
      </w:pPr>
      <w:hyperlink w:history="1" w:anchor="_Toc179391865">
        <w:r w:rsidRPr="00B26DF1" w:rsidR="00663122">
          <w:rPr>
            <w:rStyle w:val="Hyperlink"/>
            <w:rFonts w:eastAsia="SimSun"/>
            <w:noProof/>
          </w:rPr>
          <w:t>36.</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Notices</w:t>
        </w:r>
        <w:r w:rsidR="00663122">
          <w:rPr>
            <w:noProof/>
            <w:webHidden/>
          </w:rPr>
          <w:tab/>
        </w:r>
        <w:r w:rsidR="00663122">
          <w:rPr>
            <w:noProof/>
            <w:webHidden/>
          </w:rPr>
          <w:fldChar w:fldCharType="begin"/>
        </w:r>
        <w:r w:rsidR="00663122">
          <w:rPr>
            <w:noProof/>
            <w:webHidden/>
          </w:rPr>
          <w:instrText xml:space="preserve"> PAGEREF _Toc179391865 \h </w:instrText>
        </w:r>
        <w:r w:rsidR="00663122">
          <w:rPr>
            <w:noProof/>
            <w:webHidden/>
          </w:rPr>
        </w:r>
        <w:r w:rsidR="00663122">
          <w:rPr>
            <w:noProof/>
            <w:webHidden/>
          </w:rPr>
          <w:fldChar w:fldCharType="separate"/>
        </w:r>
        <w:r w:rsidR="00663122">
          <w:rPr>
            <w:noProof/>
            <w:webHidden/>
          </w:rPr>
          <w:t>25</w:t>
        </w:r>
        <w:r w:rsidR="00663122">
          <w:rPr>
            <w:noProof/>
            <w:webHidden/>
          </w:rPr>
          <w:fldChar w:fldCharType="end"/>
        </w:r>
      </w:hyperlink>
    </w:p>
    <w:p w:rsidR="00663122" w:rsidRDefault="00E00B4F" w14:paraId="6A82273E" w14:textId="4A428CE8">
      <w:pPr>
        <w:pStyle w:val="TOC1"/>
        <w:rPr>
          <w:rFonts w:asciiTheme="minorHAnsi" w:hAnsiTheme="minorHAnsi" w:eastAsiaTheme="minorEastAsia"/>
          <w:noProof/>
          <w:kern w:val="2"/>
          <w:sz w:val="24"/>
          <w:szCs w:val="24"/>
          <w:lang w:eastAsia="zh-CN"/>
          <w14:ligatures w14:val="standardContextual"/>
        </w:rPr>
      </w:pPr>
      <w:hyperlink w:history="1" w:anchor="_Toc179391866">
        <w:r w:rsidRPr="00B26DF1" w:rsidR="00663122">
          <w:rPr>
            <w:rStyle w:val="Hyperlink"/>
            <w:rFonts w:eastAsia="SimSun"/>
            <w:noProof/>
          </w:rPr>
          <w:t>37.</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Counterparts</w:t>
        </w:r>
        <w:r w:rsidR="00663122">
          <w:rPr>
            <w:noProof/>
            <w:webHidden/>
          </w:rPr>
          <w:tab/>
        </w:r>
        <w:r w:rsidR="00663122">
          <w:rPr>
            <w:noProof/>
            <w:webHidden/>
          </w:rPr>
          <w:fldChar w:fldCharType="begin"/>
        </w:r>
        <w:r w:rsidR="00663122">
          <w:rPr>
            <w:noProof/>
            <w:webHidden/>
          </w:rPr>
          <w:instrText xml:space="preserve"> PAGEREF _Toc179391866 \h </w:instrText>
        </w:r>
        <w:r w:rsidR="00663122">
          <w:rPr>
            <w:noProof/>
            <w:webHidden/>
          </w:rPr>
        </w:r>
        <w:r w:rsidR="00663122">
          <w:rPr>
            <w:noProof/>
            <w:webHidden/>
          </w:rPr>
          <w:fldChar w:fldCharType="separate"/>
        </w:r>
        <w:r w:rsidR="00663122">
          <w:rPr>
            <w:noProof/>
            <w:webHidden/>
          </w:rPr>
          <w:t>26</w:t>
        </w:r>
        <w:r w:rsidR="00663122">
          <w:rPr>
            <w:noProof/>
            <w:webHidden/>
          </w:rPr>
          <w:fldChar w:fldCharType="end"/>
        </w:r>
      </w:hyperlink>
    </w:p>
    <w:p w:rsidR="00663122" w:rsidRDefault="00E00B4F" w14:paraId="1E2872CE" w14:textId="62357E6E">
      <w:pPr>
        <w:pStyle w:val="TOC1"/>
        <w:rPr>
          <w:rFonts w:asciiTheme="minorHAnsi" w:hAnsiTheme="minorHAnsi" w:eastAsiaTheme="minorEastAsia"/>
          <w:noProof/>
          <w:kern w:val="2"/>
          <w:sz w:val="24"/>
          <w:szCs w:val="24"/>
          <w:lang w:eastAsia="zh-CN"/>
          <w14:ligatures w14:val="standardContextual"/>
        </w:rPr>
      </w:pPr>
      <w:hyperlink w:history="1" w:anchor="_Toc179391867">
        <w:r w:rsidRPr="00B26DF1" w:rsidR="00663122">
          <w:rPr>
            <w:rStyle w:val="Hyperlink"/>
            <w:rFonts w:eastAsia="SimSun"/>
            <w:noProof/>
          </w:rPr>
          <w:t>38.</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Governing Law</w:t>
        </w:r>
        <w:r w:rsidR="00663122">
          <w:rPr>
            <w:noProof/>
            <w:webHidden/>
          </w:rPr>
          <w:tab/>
        </w:r>
        <w:r w:rsidR="00663122">
          <w:rPr>
            <w:noProof/>
            <w:webHidden/>
          </w:rPr>
          <w:fldChar w:fldCharType="begin"/>
        </w:r>
        <w:r w:rsidR="00663122">
          <w:rPr>
            <w:noProof/>
            <w:webHidden/>
          </w:rPr>
          <w:instrText xml:space="preserve"> PAGEREF _Toc179391867 \h </w:instrText>
        </w:r>
        <w:r w:rsidR="00663122">
          <w:rPr>
            <w:noProof/>
            <w:webHidden/>
          </w:rPr>
        </w:r>
        <w:r w:rsidR="00663122">
          <w:rPr>
            <w:noProof/>
            <w:webHidden/>
          </w:rPr>
          <w:fldChar w:fldCharType="separate"/>
        </w:r>
        <w:r w:rsidR="00663122">
          <w:rPr>
            <w:noProof/>
            <w:webHidden/>
          </w:rPr>
          <w:t>26</w:t>
        </w:r>
        <w:r w:rsidR="00663122">
          <w:rPr>
            <w:noProof/>
            <w:webHidden/>
          </w:rPr>
          <w:fldChar w:fldCharType="end"/>
        </w:r>
      </w:hyperlink>
    </w:p>
    <w:p w:rsidR="00663122" w:rsidRDefault="00E00B4F" w14:paraId="10C9174A" w14:textId="445BABC8">
      <w:pPr>
        <w:pStyle w:val="TOC5"/>
        <w:rPr>
          <w:rFonts w:asciiTheme="minorHAnsi" w:hAnsiTheme="minorHAnsi" w:eastAsiaTheme="minorEastAsia"/>
          <w:caps w:val="0"/>
          <w:noProof/>
          <w:kern w:val="2"/>
          <w:sz w:val="24"/>
          <w:szCs w:val="24"/>
          <w:lang w:eastAsia="zh-CN"/>
          <w14:ligatures w14:val="standardContextual"/>
        </w:rPr>
      </w:pPr>
      <w:hyperlink w:history="1" w:anchor="_Toc179391868">
        <w:r w:rsidRPr="00B26DF1" w:rsidR="00663122">
          <w:rPr>
            <w:rStyle w:val="Hyperlink"/>
            <w:rFonts w:eastAsia="SimSun"/>
            <w:noProof/>
            <w:w w:val="0"/>
          </w:rPr>
          <w:t>Schedule 1</w:t>
        </w:r>
        <w:r w:rsidR="00663122">
          <w:rPr>
            <w:noProof/>
            <w:webHidden/>
          </w:rPr>
          <w:tab/>
        </w:r>
        <w:r w:rsidR="00663122">
          <w:rPr>
            <w:noProof/>
            <w:webHidden/>
          </w:rPr>
          <w:fldChar w:fldCharType="begin"/>
        </w:r>
        <w:r w:rsidR="00663122">
          <w:rPr>
            <w:noProof/>
            <w:webHidden/>
          </w:rPr>
          <w:instrText xml:space="preserve"> PAGEREF _Toc179391868 \h </w:instrText>
        </w:r>
        <w:r w:rsidR="00663122">
          <w:rPr>
            <w:noProof/>
            <w:webHidden/>
          </w:rPr>
        </w:r>
        <w:r w:rsidR="00663122">
          <w:rPr>
            <w:noProof/>
            <w:webHidden/>
          </w:rPr>
          <w:fldChar w:fldCharType="separate"/>
        </w:r>
        <w:r w:rsidR="00663122">
          <w:rPr>
            <w:noProof/>
            <w:webHidden/>
          </w:rPr>
          <w:t>27</w:t>
        </w:r>
        <w:r w:rsidR="00663122">
          <w:rPr>
            <w:noProof/>
            <w:webHidden/>
          </w:rPr>
          <w:fldChar w:fldCharType="end"/>
        </w:r>
      </w:hyperlink>
    </w:p>
    <w:p w:rsidR="00663122" w:rsidRDefault="00E00B4F" w14:paraId="0D8F2C2E" w14:textId="3DBF9B1F">
      <w:pPr>
        <w:pStyle w:val="TOC5"/>
        <w:rPr>
          <w:rFonts w:asciiTheme="minorHAnsi" w:hAnsiTheme="minorHAnsi" w:eastAsiaTheme="minorEastAsia"/>
          <w:caps w:val="0"/>
          <w:noProof/>
          <w:kern w:val="2"/>
          <w:sz w:val="24"/>
          <w:szCs w:val="24"/>
          <w:lang w:eastAsia="zh-CN"/>
          <w14:ligatures w14:val="standardContextual"/>
        </w:rPr>
      </w:pPr>
      <w:hyperlink w:history="1" w:anchor="_Toc179391869">
        <w:r w:rsidRPr="00B26DF1" w:rsidR="00663122">
          <w:rPr>
            <w:rStyle w:val="Hyperlink"/>
            <w:rFonts w:eastAsia="SimSun"/>
            <w:noProof/>
          </w:rPr>
          <w:t>Part 1 : [SUB-FUNDS]</w:t>
        </w:r>
        <w:r w:rsidR="00663122">
          <w:rPr>
            <w:noProof/>
            <w:webHidden/>
          </w:rPr>
          <w:tab/>
        </w:r>
        <w:r w:rsidR="00663122">
          <w:rPr>
            <w:noProof/>
            <w:webHidden/>
          </w:rPr>
          <w:fldChar w:fldCharType="begin"/>
        </w:r>
        <w:r w:rsidR="00663122">
          <w:rPr>
            <w:noProof/>
            <w:webHidden/>
          </w:rPr>
          <w:instrText xml:space="preserve"> PAGEREF _Toc179391869 \h </w:instrText>
        </w:r>
        <w:r w:rsidR="00663122">
          <w:rPr>
            <w:noProof/>
            <w:webHidden/>
          </w:rPr>
        </w:r>
        <w:r w:rsidR="00663122">
          <w:rPr>
            <w:noProof/>
            <w:webHidden/>
          </w:rPr>
          <w:fldChar w:fldCharType="separate"/>
        </w:r>
        <w:r w:rsidR="00663122">
          <w:rPr>
            <w:noProof/>
            <w:webHidden/>
          </w:rPr>
          <w:t>27</w:t>
        </w:r>
        <w:r w:rsidR="00663122">
          <w:rPr>
            <w:noProof/>
            <w:webHidden/>
          </w:rPr>
          <w:fldChar w:fldCharType="end"/>
        </w:r>
      </w:hyperlink>
    </w:p>
    <w:p w:rsidR="00663122" w:rsidRDefault="00E00B4F" w14:paraId="489EA053" w14:textId="6AC4DCF9">
      <w:pPr>
        <w:pStyle w:val="TOC5"/>
        <w:rPr>
          <w:rFonts w:asciiTheme="minorHAnsi" w:hAnsiTheme="minorHAnsi" w:eastAsiaTheme="minorEastAsia"/>
          <w:caps w:val="0"/>
          <w:noProof/>
          <w:kern w:val="2"/>
          <w:sz w:val="24"/>
          <w:szCs w:val="24"/>
          <w:lang w:eastAsia="zh-CN"/>
          <w14:ligatures w14:val="standardContextual"/>
        </w:rPr>
      </w:pPr>
      <w:hyperlink w:history="1" w:anchor="_Toc179391870">
        <w:r w:rsidRPr="00B26DF1" w:rsidR="00663122">
          <w:rPr>
            <w:rStyle w:val="Hyperlink"/>
            <w:rFonts w:eastAsia="SimSun"/>
            <w:noProof/>
            <w:w w:val="0"/>
          </w:rPr>
          <w:t>Part 2 : unit classes</w:t>
        </w:r>
        <w:r w:rsidR="00663122">
          <w:rPr>
            <w:noProof/>
            <w:webHidden/>
          </w:rPr>
          <w:tab/>
        </w:r>
        <w:r w:rsidR="00663122">
          <w:rPr>
            <w:noProof/>
            <w:webHidden/>
          </w:rPr>
          <w:fldChar w:fldCharType="begin"/>
        </w:r>
        <w:r w:rsidR="00663122">
          <w:rPr>
            <w:noProof/>
            <w:webHidden/>
          </w:rPr>
          <w:instrText xml:space="preserve"> PAGEREF _Toc179391870 \h </w:instrText>
        </w:r>
        <w:r w:rsidR="00663122">
          <w:rPr>
            <w:noProof/>
            <w:webHidden/>
          </w:rPr>
        </w:r>
        <w:r w:rsidR="00663122">
          <w:rPr>
            <w:noProof/>
            <w:webHidden/>
          </w:rPr>
          <w:fldChar w:fldCharType="separate"/>
        </w:r>
        <w:r w:rsidR="00663122">
          <w:rPr>
            <w:noProof/>
            <w:webHidden/>
          </w:rPr>
          <w:t>27</w:t>
        </w:r>
        <w:r w:rsidR="00663122">
          <w:rPr>
            <w:noProof/>
            <w:webHidden/>
          </w:rPr>
          <w:fldChar w:fldCharType="end"/>
        </w:r>
      </w:hyperlink>
    </w:p>
    <w:p w:rsidR="00663122" w:rsidRDefault="00E00B4F" w14:paraId="0879722A" w14:textId="6176FF63">
      <w:pPr>
        <w:pStyle w:val="TOC5"/>
        <w:rPr>
          <w:rFonts w:asciiTheme="minorHAnsi" w:hAnsiTheme="minorHAnsi" w:eastAsiaTheme="minorEastAsia"/>
          <w:caps w:val="0"/>
          <w:noProof/>
          <w:kern w:val="2"/>
          <w:sz w:val="24"/>
          <w:szCs w:val="24"/>
          <w:lang w:eastAsia="zh-CN"/>
          <w14:ligatures w14:val="standardContextual"/>
        </w:rPr>
      </w:pPr>
      <w:hyperlink w:history="1" w:anchor="_Toc179391871">
        <w:r w:rsidRPr="00B26DF1" w:rsidR="00663122">
          <w:rPr>
            <w:rStyle w:val="Hyperlink"/>
            <w:rFonts w:eastAsia="SimSun"/>
            <w:noProof/>
          </w:rPr>
          <w:t>Part 3 : Proceedings and VOTING AT MEETINGS</w:t>
        </w:r>
        <w:r w:rsidR="00663122">
          <w:rPr>
            <w:noProof/>
            <w:webHidden/>
          </w:rPr>
          <w:tab/>
        </w:r>
        <w:r w:rsidR="00663122">
          <w:rPr>
            <w:noProof/>
            <w:webHidden/>
          </w:rPr>
          <w:fldChar w:fldCharType="begin"/>
        </w:r>
        <w:r w:rsidR="00663122">
          <w:rPr>
            <w:noProof/>
            <w:webHidden/>
          </w:rPr>
          <w:instrText xml:space="preserve"> PAGEREF _Toc179391871 \h </w:instrText>
        </w:r>
        <w:r w:rsidR="00663122">
          <w:rPr>
            <w:noProof/>
            <w:webHidden/>
          </w:rPr>
        </w:r>
        <w:r w:rsidR="00663122">
          <w:rPr>
            <w:noProof/>
            <w:webHidden/>
          </w:rPr>
          <w:fldChar w:fldCharType="separate"/>
        </w:r>
        <w:r w:rsidR="00663122">
          <w:rPr>
            <w:noProof/>
            <w:webHidden/>
          </w:rPr>
          <w:t>28</w:t>
        </w:r>
        <w:r w:rsidR="00663122">
          <w:rPr>
            <w:noProof/>
            <w:webHidden/>
          </w:rPr>
          <w:fldChar w:fldCharType="end"/>
        </w:r>
      </w:hyperlink>
    </w:p>
    <w:p w:rsidR="00663122" w:rsidRDefault="00E00B4F" w14:paraId="4654BC49" w14:textId="6B5D81C8">
      <w:pPr>
        <w:pStyle w:val="TOC5"/>
        <w:rPr>
          <w:rFonts w:asciiTheme="minorHAnsi" w:hAnsiTheme="minorHAnsi" w:eastAsiaTheme="minorEastAsia"/>
          <w:caps w:val="0"/>
          <w:noProof/>
          <w:kern w:val="2"/>
          <w:sz w:val="24"/>
          <w:szCs w:val="24"/>
          <w:lang w:eastAsia="zh-CN"/>
          <w14:ligatures w14:val="standardContextual"/>
        </w:rPr>
      </w:pPr>
      <w:hyperlink w:history="1" w:anchor="_Toc179391875">
        <w:r w:rsidRPr="00B26DF1" w:rsidR="00663122">
          <w:rPr>
            <w:rStyle w:val="Hyperlink"/>
            <w:rFonts w:eastAsia="SimSun"/>
            <w:noProof/>
            <w:w w:val="0"/>
          </w:rPr>
          <w:t>Part 4</w:t>
        </w:r>
        <w:r w:rsidRPr="00B26DF1" w:rsidR="00663122">
          <w:rPr>
            <w:rStyle w:val="Hyperlink"/>
            <w:rFonts w:eastAsia="SimSun"/>
            <w:bCs/>
            <w:noProof/>
            <w:w w:val="0"/>
          </w:rPr>
          <w:t xml:space="preserve"> : [Allocation of </w:t>
        </w:r>
        <w:r w:rsidRPr="00B26DF1" w:rsidR="00663122">
          <w:rPr>
            <w:rStyle w:val="Hyperlink"/>
            <w:rFonts w:eastAsia="SimSun"/>
            <w:noProof/>
            <w:w w:val="0"/>
          </w:rPr>
          <w:t>Rights to Participate in Scheme Property of a Sub-fund]</w:t>
        </w:r>
        <w:r w:rsidR="00663122">
          <w:rPr>
            <w:noProof/>
            <w:webHidden/>
          </w:rPr>
          <w:tab/>
        </w:r>
        <w:r w:rsidR="00663122">
          <w:rPr>
            <w:noProof/>
            <w:webHidden/>
          </w:rPr>
          <w:fldChar w:fldCharType="begin"/>
        </w:r>
        <w:r w:rsidR="00663122">
          <w:rPr>
            <w:noProof/>
            <w:webHidden/>
          </w:rPr>
          <w:instrText xml:space="preserve"> PAGEREF _Toc179391875 \h </w:instrText>
        </w:r>
        <w:r w:rsidR="00663122">
          <w:rPr>
            <w:noProof/>
            <w:webHidden/>
          </w:rPr>
        </w:r>
        <w:r w:rsidR="00663122">
          <w:rPr>
            <w:noProof/>
            <w:webHidden/>
          </w:rPr>
          <w:fldChar w:fldCharType="separate"/>
        </w:r>
        <w:r w:rsidR="00663122">
          <w:rPr>
            <w:noProof/>
            <w:webHidden/>
          </w:rPr>
          <w:t>32</w:t>
        </w:r>
        <w:r w:rsidR="00663122">
          <w:rPr>
            <w:noProof/>
            <w:webHidden/>
          </w:rPr>
          <w:fldChar w:fldCharType="end"/>
        </w:r>
      </w:hyperlink>
    </w:p>
    <w:p w:rsidR="00663122" w:rsidRDefault="00E00B4F" w14:paraId="3BC819F5" w14:textId="6D56D09A">
      <w:pPr>
        <w:pStyle w:val="TOC5"/>
        <w:rPr>
          <w:rFonts w:asciiTheme="minorHAnsi" w:hAnsiTheme="minorHAnsi" w:eastAsiaTheme="minorEastAsia"/>
          <w:caps w:val="0"/>
          <w:noProof/>
          <w:kern w:val="2"/>
          <w:sz w:val="24"/>
          <w:szCs w:val="24"/>
          <w:lang w:eastAsia="zh-CN"/>
          <w14:ligatures w14:val="standardContextual"/>
        </w:rPr>
      </w:pPr>
      <w:hyperlink w:history="1" w:anchor="_Toc179391876">
        <w:r w:rsidRPr="00B26DF1" w:rsidR="00663122">
          <w:rPr>
            <w:rStyle w:val="Hyperlink"/>
            <w:rFonts w:eastAsia="SimSun"/>
            <w:noProof/>
            <w:w w:val="0"/>
          </w:rPr>
          <w:t>Part 5</w:t>
        </w:r>
        <w:r w:rsidRPr="00B26DF1" w:rsidR="00663122">
          <w:rPr>
            <w:rStyle w:val="Hyperlink"/>
            <w:rFonts w:eastAsia="SimSun"/>
            <w:bCs/>
            <w:noProof/>
            <w:w w:val="0"/>
          </w:rPr>
          <w:t xml:space="preserve"> : </w:t>
        </w:r>
        <w:r w:rsidRPr="00B26DF1" w:rsidR="00663122">
          <w:rPr>
            <w:rStyle w:val="Hyperlink"/>
            <w:rFonts w:eastAsia="SimSun"/>
            <w:noProof/>
            <w:w w:val="0"/>
          </w:rPr>
          <w:t>Determination of net asset value</w:t>
        </w:r>
        <w:r w:rsidR="00663122">
          <w:rPr>
            <w:noProof/>
            <w:webHidden/>
          </w:rPr>
          <w:tab/>
        </w:r>
        <w:r w:rsidR="00663122">
          <w:rPr>
            <w:noProof/>
            <w:webHidden/>
          </w:rPr>
          <w:fldChar w:fldCharType="begin"/>
        </w:r>
        <w:r w:rsidR="00663122">
          <w:rPr>
            <w:noProof/>
            <w:webHidden/>
          </w:rPr>
          <w:instrText xml:space="preserve"> PAGEREF _Toc179391876 \h </w:instrText>
        </w:r>
        <w:r w:rsidR="00663122">
          <w:rPr>
            <w:noProof/>
            <w:webHidden/>
          </w:rPr>
        </w:r>
        <w:r w:rsidR="00663122">
          <w:rPr>
            <w:noProof/>
            <w:webHidden/>
          </w:rPr>
          <w:fldChar w:fldCharType="separate"/>
        </w:r>
        <w:r w:rsidR="00663122">
          <w:rPr>
            <w:noProof/>
            <w:webHidden/>
          </w:rPr>
          <w:t>34</w:t>
        </w:r>
        <w:r w:rsidR="00663122">
          <w:rPr>
            <w:noProof/>
            <w:webHidden/>
          </w:rPr>
          <w:fldChar w:fldCharType="end"/>
        </w:r>
      </w:hyperlink>
    </w:p>
    <w:p w:rsidR="00663122" w:rsidRDefault="00E00B4F" w14:paraId="069892E4" w14:textId="2D4F758D">
      <w:pPr>
        <w:pStyle w:val="TOC5"/>
        <w:rPr>
          <w:rFonts w:asciiTheme="minorHAnsi" w:hAnsiTheme="minorHAnsi" w:eastAsiaTheme="minorEastAsia"/>
          <w:caps w:val="0"/>
          <w:noProof/>
          <w:kern w:val="2"/>
          <w:sz w:val="24"/>
          <w:szCs w:val="24"/>
          <w:lang w:eastAsia="zh-CN"/>
          <w14:ligatures w14:val="standardContextual"/>
        </w:rPr>
      </w:pPr>
      <w:hyperlink w:history="1" w:anchor="_Toc179391877">
        <w:r w:rsidRPr="00B26DF1" w:rsidR="00663122">
          <w:rPr>
            <w:rStyle w:val="Hyperlink"/>
            <w:rFonts w:eastAsia="SimSun"/>
            <w:noProof/>
            <w:w w:val="0"/>
          </w:rPr>
          <w:t>Part 6 : CERTIFICATE</w:t>
        </w:r>
        <w:r w:rsidR="00663122">
          <w:rPr>
            <w:noProof/>
            <w:webHidden/>
          </w:rPr>
          <w:tab/>
        </w:r>
        <w:r w:rsidR="00663122">
          <w:rPr>
            <w:noProof/>
            <w:webHidden/>
          </w:rPr>
          <w:fldChar w:fldCharType="begin"/>
        </w:r>
        <w:r w:rsidR="00663122">
          <w:rPr>
            <w:noProof/>
            <w:webHidden/>
          </w:rPr>
          <w:instrText xml:space="preserve"> PAGEREF _Toc179391877 \h </w:instrText>
        </w:r>
        <w:r w:rsidR="00663122">
          <w:rPr>
            <w:noProof/>
            <w:webHidden/>
          </w:rPr>
        </w:r>
        <w:r w:rsidR="00663122">
          <w:rPr>
            <w:noProof/>
            <w:webHidden/>
          </w:rPr>
          <w:fldChar w:fldCharType="separate"/>
        </w:r>
        <w:r w:rsidR="00663122">
          <w:rPr>
            <w:noProof/>
            <w:webHidden/>
          </w:rPr>
          <w:t>42</w:t>
        </w:r>
        <w:r w:rsidR="00663122">
          <w:rPr>
            <w:noProof/>
            <w:webHidden/>
          </w:rPr>
          <w:fldChar w:fldCharType="end"/>
        </w:r>
      </w:hyperlink>
    </w:p>
    <w:p w:rsidRPr="009F4300" w:rsidR="00135C41" w:rsidP="008F663B" w:rsidRDefault="00135C41" w14:paraId="3927057C" w14:textId="2647E1DD">
      <w:pPr>
        <w:rPr>
          <w:rFonts w:eastAsia="Times New Roman"/>
          <w:b/>
          <w:bCs/>
          <w:noProof/>
        </w:rPr>
      </w:pPr>
      <w:r w:rsidRPr="009F4300">
        <w:rPr>
          <w:rFonts w:eastAsia="Times New Roman"/>
          <w:b/>
          <w:bCs/>
          <w:noProof/>
        </w:rPr>
        <w:fldChar w:fldCharType="end"/>
      </w:r>
    </w:p>
    <w:p w:rsidRPr="009F4300" w:rsidR="003D2A7A" w:rsidP="00AE54F0" w:rsidRDefault="003D2A7A" w14:paraId="290A4AC1" w14:textId="77777777">
      <w:pPr>
        <w:rPr>
          <w:rFonts w:eastAsia="Times New Roman"/>
          <w:b/>
          <w:bCs/>
          <w:noProof/>
        </w:rPr>
      </w:pPr>
      <w:bookmarkStart w:name="BMLR" w:id="2"/>
      <w:bookmarkEnd w:id="1"/>
      <w:bookmarkEnd w:id="2"/>
    </w:p>
    <w:p w:rsidRPr="009F4300" w:rsidR="00F429F7" w:rsidP="00AE54F0" w:rsidRDefault="00F429F7" w14:paraId="0AE28663" w14:textId="77777777">
      <w:pPr>
        <w:rPr>
          <w:rFonts w:eastAsia="Times New Roman"/>
          <w:b/>
          <w:bCs/>
          <w:noProof/>
        </w:rPr>
      </w:pPr>
    </w:p>
    <w:p w:rsidRPr="009F4300" w:rsidR="00F429F7" w:rsidP="00AE54F0" w:rsidRDefault="00F429F7" w14:paraId="2F4A4740" w14:textId="77777777">
      <w:pPr>
        <w:rPr>
          <w:rFonts w:eastAsia="Times New Roman"/>
          <w:b/>
          <w:bCs/>
          <w:noProof/>
        </w:rPr>
        <w:sectPr w:rsidRPr="009F4300" w:rsidR="00F429F7" w:rsidSect="00A54CA9">
          <w:footerReference w:type="default" r:id="rId19"/>
          <w:endnotePr>
            <w:numFmt w:val="decimal"/>
          </w:endnotePr>
          <w:pgSz w:w="11906" w:h="16838" w:code="9"/>
          <w:pgMar w:top="1418" w:right="1191" w:bottom="567" w:left="1191" w:header="567" w:footer="624" w:gutter="0"/>
          <w:pgNumType w:fmt="lowerRoman" w:start="1"/>
          <w:cols w:space="708"/>
          <w:docGrid w:linePitch="360"/>
        </w:sectPr>
      </w:pPr>
    </w:p>
    <w:p w:rsidRPr="009F4300" w:rsidR="00802852" w:rsidP="006A4D38" w:rsidRDefault="00E00B4F" w14:paraId="4F9C406F" w14:textId="51DC2EF9">
      <w:pPr>
        <w:pStyle w:val="ssUserEntry"/>
        <w:pageBreakBefore/>
        <w:rPr>
          <w:rFonts w:cstheme="minorHAnsi"/>
          <w:b/>
          <w:caps/>
          <w:u w:val="single"/>
        </w:rPr>
      </w:pPr>
      <w:r w:rsidRPr="009F4300" w:rsidR="0001720C">
        <w:rPr>
          <w:rFonts w:cstheme="minorHAnsi"/>
          <w:b/>
          <w:caps/>
          <w:u w:val="single"/>
        </w:rPr>
        <w:t xml:space="preserve">This </w:t>
      </w:r>
      <w:r w:rsidR="00857A99">
        <w:rPr>
          <w:rFonts w:cstheme="minorHAnsi"/>
          <w:b/>
          <w:caps/>
          <w:u w:val="single"/>
        </w:rPr>
        <w:t>DEED</w:t>
      </w:r>
      <w:r w:rsidRPr="009F4300" w:rsidR="00802852">
        <w:t xml:space="preserve"> </w:t>
      </w:r>
      <w:r w:rsidRPr="009F4300" w:rsidR="0001720C">
        <w:t>is dated</w:t>
      </w:r>
      <w:r w:rsidRPr="009F4300" w:rsidR="00802852">
        <w:t xml:space="preserve"> </w:t>
      </w:r>
      <w:r w:rsidRPr="009F4300" w:rsidR="0001720C">
        <w:t xml:space="preserve">                                   </w:t>
      </w:r>
      <w:r w:rsidRPr="009F4300" w:rsidR="00802852">
        <w:t xml:space="preserve"> </w:t>
      </w:r>
      <w:r w:rsidRPr="009F4300" w:rsidR="0001720C">
        <w:t>and made</w:t>
      </w:r>
    </w:p>
    <w:p w:rsidRPr="009F4300" w:rsidR="00AA69AC" w:rsidP="00AA69AC" w:rsidRDefault="00AA69AC" w14:paraId="3860C887" w14:textId="77777777">
      <w:pPr>
        <w:pStyle w:val="ssSpacingLine"/>
      </w:pPr>
    </w:p>
    <w:p w:rsidRPr="009F4300" w:rsidR="00E534FC" w:rsidP="00830342" w:rsidRDefault="0001720C" w14:paraId="73F9B397" w14:textId="462E7CA8">
      <w:pPr>
        <w:pStyle w:val="ssAgrTypeText"/>
      </w:pPr>
      <w:r w:rsidRPr="009F4300">
        <w:t>between:</w:t>
      </w:r>
    </w:p>
    <w:p w:rsidRPr="009F4300" w:rsidR="00AA69AC" w:rsidP="00AA69AC" w:rsidRDefault="00AA69AC" w14:paraId="4D6B8BCF" w14:textId="77777777">
      <w:pPr>
        <w:pStyle w:val="ssSpacingLine"/>
      </w:pPr>
    </w:p>
    <w:bookmarkStart w:name="_Toc529191256" w:displacedByCustomXml="next" w:id="3"/>
    <w:p w:rsidRPr="009F4300" w:rsidR="0001720C" w:rsidP="0001720C" w:rsidRDefault="00E00B4F" w14:paraId="78CD217A" w14:textId="58D67E7E">
      <w:pPr>
        <w:pStyle w:val="Parties"/>
      </w:pPr>
      <w:r w:rsidRPr="009F4300" w:rsidR="0001720C">
        <w:rPr>
          <w:b/>
          <w:u w:val="single"/>
        </w:rPr>
        <w:t>[</w:t>
      </w:r>
      <w:r w:rsidRPr="00892DBD" w:rsidR="0001720C">
        <w:rPr>
          <w:b/>
          <w:highlight w:val="yellow"/>
          <w:u w:val="single"/>
        </w:rPr>
        <w:t>MANAGER</w:t>
      </w:r>
      <w:r w:rsidRPr="009F4300" w:rsidR="0001720C">
        <w:rPr>
          <w:b/>
          <w:u w:val="single"/>
        </w:rPr>
        <w:t>]</w:t>
      </w:r>
      <w:r w:rsidRPr="009F4300" w:rsidR="0001720C">
        <w:t>, (the “</w:t>
      </w:r>
      <w:r w:rsidR="00787290">
        <w:rPr>
          <w:b/>
          <w:bCs/>
        </w:rPr>
        <w:t>Manager</w:t>
      </w:r>
      <w:r w:rsidRPr="009F4300" w:rsidR="0001720C">
        <w:t>”), having its registered office at [</w:t>
      </w:r>
      <w:r w:rsidRPr="00892DBD" w:rsidR="00892DBD">
        <w:rPr>
          <w:bCs/>
          <w:highlight w:val="yellow"/>
        </w:rPr>
        <w:t>●</w:t>
      </w:r>
      <w:r w:rsidRPr="009F4300" w:rsidR="0001720C">
        <w:t>];</w:t>
      </w:r>
    </w:p>
    <w:p w:rsidRPr="009F4300" w:rsidR="00E534FC" w:rsidP="0001720C" w:rsidRDefault="00E00B4F" w14:paraId="31DF6A07" w14:textId="7F0B8F5A">
      <w:pPr>
        <w:pStyle w:val="Parties"/>
      </w:pPr>
      <w:r w:rsidRPr="009F4300" w:rsidR="0001720C">
        <w:rPr>
          <w:b/>
          <w:u w:val="single"/>
        </w:rPr>
        <w:t>[</w:t>
      </w:r>
      <w:r w:rsidRPr="00892DBD" w:rsidR="0001720C">
        <w:rPr>
          <w:b/>
          <w:highlight w:val="yellow"/>
          <w:u w:val="single"/>
        </w:rPr>
        <w:t>DEPOSITARY</w:t>
      </w:r>
      <w:r w:rsidRPr="009F4300" w:rsidR="0001720C">
        <w:rPr>
          <w:b/>
          <w:u w:val="single"/>
        </w:rPr>
        <w:t>]</w:t>
      </w:r>
      <w:r w:rsidRPr="009F4300" w:rsidR="0001720C">
        <w:t>, (the “</w:t>
      </w:r>
      <w:r w:rsidR="00787290">
        <w:rPr>
          <w:b/>
          <w:bCs/>
        </w:rPr>
        <w:t>Depositary</w:t>
      </w:r>
      <w:r w:rsidRPr="009F4300" w:rsidR="0001720C">
        <w:t>), having its registered office at [</w:t>
      </w:r>
      <w:r w:rsidRPr="00892DBD" w:rsidR="00892DBD">
        <w:rPr>
          <w:bCs/>
          <w:highlight w:val="yellow"/>
        </w:rPr>
        <w:t>●</w:t>
      </w:r>
      <w:r w:rsidRPr="009F4300" w:rsidR="0001720C">
        <w:t>].</w:t>
      </w:r>
    </w:p>
    <w:bookmarkEnd w:displacedByCustomXml="prev" w:id="3"/>
    <w:p w:rsidRPr="009F4300" w:rsidR="00E534FC" w:rsidP="00AA69AC" w:rsidRDefault="0001720C" w14:paraId="62F3629C" w14:textId="1F1A8133">
      <w:pPr>
        <w:pStyle w:val="ssUserEntry"/>
        <w:rPr>
          <w:b/>
          <w:bCs/>
          <w:caps/>
        </w:rPr>
      </w:pPr>
      <w:r w:rsidRPr="009F4300">
        <w:rPr>
          <w:b/>
          <w:bCs/>
          <w:caps/>
        </w:rPr>
        <w:t>Background:</w:t>
      </w:r>
    </w:p>
    <w:p w:rsidRPr="009F4300" w:rsidR="00AA69AC" w:rsidP="00AA69AC" w:rsidRDefault="00AA69AC" w14:paraId="2E1AF33C" w14:textId="77777777">
      <w:pPr>
        <w:pStyle w:val="ssUserEntry"/>
        <w:rPr>
          <w:b/>
          <w:bCs/>
          <w:caps/>
        </w:rPr>
      </w:pPr>
    </w:p>
    <w:p w:rsidRPr="009F4300" w:rsidR="00B5285E" w:rsidP="005D41BC" w:rsidRDefault="00F238C5" w14:paraId="5AF2023D" w14:textId="7A55689D">
      <w:pPr>
        <w:pStyle w:val="Recitals"/>
      </w:pPr>
      <w:bookmarkStart w:name="_Toc529191257" w:id="4"/>
      <w:bookmarkEnd w:id="4"/>
      <w:r w:rsidRPr="009F4300">
        <w:t xml:space="preserve">This Deed contains the arrangements to </w:t>
      </w:r>
      <w:r w:rsidR="004B068E">
        <w:t>establish</w:t>
      </w:r>
      <w:r w:rsidRPr="009F4300">
        <w:t xml:space="preserve"> an authorised contractual co-ownership scheme in umbrella form to be authorised by the Financial Conduct Authority under section 261D of the Financial Services and Markets Act 2000;</w:t>
      </w:r>
    </w:p>
    <w:p w:rsidRPr="009F4300" w:rsidR="00D656F6" w:rsidP="006548A2" w:rsidRDefault="00763112" w14:paraId="114CB5E8" w14:textId="5B7833B9">
      <w:pPr>
        <w:pStyle w:val="Recitals"/>
      </w:pPr>
      <w:r w:rsidRPr="00F4370F">
        <w:rPr>
          <w:rFonts w:cs="Arial"/>
        </w:rPr>
        <w:t xml:space="preserve">The </w:t>
      </w:r>
      <w:r w:rsidR="00B21EE2">
        <w:rPr>
          <w:rFonts w:cs="Arial"/>
        </w:rPr>
        <w:t>Manager</w:t>
      </w:r>
      <w:r w:rsidRPr="00F4370F">
        <w:rPr>
          <w:rFonts w:cs="Arial"/>
        </w:rPr>
        <w:t xml:space="preserve"> is authorised and regulated by the Financial Conduct Authority to perform the regulated activity of managing an authorised AIF; and</w:t>
      </w:r>
    </w:p>
    <w:p w:rsidRPr="009F4300" w:rsidR="00F238C5" w:rsidP="006548A2" w:rsidRDefault="00763112" w14:paraId="7B74CEF6" w14:textId="429C2494">
      <w:pPr>
        <w:pStyle w:val="Recitals"/>
      </w:pPr>
      <w:r w:rsidRPr="00F4370F">
        <w:rPr>
          <w:rFonts w:cs="Arial"/>
        </w:rPr>
        <w:t xml:space="preserve">The Depositary is authorised </w:t>
      </w:r>
      <w:r>
        <w:rPr>
          <w:rFonts w:cs="Arial"/>
        </w:rPr>
        <w:t>and regulated</w:t>
      </w:r>
      <w:r w:rsidRPr="00F4370F">
        <w:rPr>
          <w:rFonts w:cs="Arial"/>
        </w:rPr>
        <w:t xml:space="preserve"> by the Financial Conduct Authority </w:t>
      </w:r>
      <w:r>
        <w:rPr>
          <w:rFonts w:cs="Arial"/>
        </w:rPr>
        <w:t>to perform the regulated activity of acting as a depositary of an authorised AIF</w:t>
      </w:r>
      <w:r w:rsidR="001E3D35">
        <w:t>.</w:t>
      </w:r>
    </w:p>
    <w:p w:rsidRPr="009F4300" w:rsidR="00F238C5" w:rsidP="00F238C5" w:rsidRDefault="00F238C5" w14:paraId="4812E37A" w14:textId="271A07E7">
      <w:pPr>
        <w:pStyle w:val="ssPara"/>
      </w:pPr>
      <w:r w:rsidRPr="009F4300">
        <w:rPr>
          <w:b/>
          <w:bCs/>
        </w:rPr>
        <w:t>NOW THIS DEED WITNESSES</w:t>
      </w:r>
      <w:r w:rsidRPr="009F4300">
        <w:t xml:space="preserve"> as follows:</w:t>
      </w:r>
    </w:p>
    <w:p w:rsidRPr="009F4300" w:rsidR="00F238C5" w:rsidP="00F238C5" w:rsidRDefault="001F22F9" w14:paraId="68FE229A" w14:textId="3B0086BF">
      <w:pPr>
        <w:pStyle w:val="Heading1"/>
      </w:pPr>
      <w:bookmarkStart w:name="_Ref173655988" w:id="5"/>
      <w:bookmarkStart w:name="_Toc179391830" w:id="6"/>
      <w:r w:rsidRPr="009F4300">
        <w:t>Definitions</w:t>
      </w:r>
      <w:bookmarkStart w:name="_NN948" w:id="7"/>
      <w:bookmarkEnd w:id="5"/>
      <w:bookmarkEnd w:id="7"/>
      <w:r w:rsidR="008B3C56">
        <w:t xml:space="preserve"> and Interpretation</w:t>
      </w:r>
      <w:bookmarkEnd w:id="6"/>
    </w:p>
    <w:p w:rsidR="00F238C5" w:rsidP="00F238C5" w:rsidRDefault="00946669" w14:paraId="78826BAC" w14:textId="6E2000C5">
      <w:pPr>
        <w:pStyle w:val="ssNoHeading2"/>
      </w:pPr>
      <w:bookmarkStart w:name="_DV_M48" w:id="8"/>
      <w:bookmarkStart w:name="_Ref524765374" w:id="9"/>
      <w:bookmarkEnd w:id="8"/>
      <w:r>
        <w:t>In this Deed the words and expressions set out in the first column below shall have the meanings set opposite them unless the context requires otherwise. Words and expressions contained in this Deed but not defined herein shall have the same meanings as in the Act or the Regulations (as defined below) (as the case may be) unless the contrary is stated</w:t>
      </w:r>
      <w:r w:rsidRPr="009F4300" w:rsidR="00F238C5">
        <w:t>:</w:t>
      </w:r>
      <w:bookmarkEnd w:id="9"/>
    </w:p>
    <w:tbl>
      <w:tblPr>
        <w:tblStyle w:val="TableGrid"/>
        <w:tblW w:w="0" w:type="auto"/>
        <w:tblInd w:w="709" w:type="dxa"/>
        <w:tblLook w:val="04A0" w:firstRow="1" w:lastRow="0" w:firstColumn="1" w:lastColumn="0" w:noHBand="0" w:noVBand="1"/>
      </w:tblPr>
      <w:tblGrid>
        <w:gridCol w:w="2858"/>
        <w:gridCol w:w="5957"/>
      </w:tblGrid>
      <w:tr w:rsidR="0092781E" w:rsidTr="0092781E" w14:paraId="6E5C7DED" w14:textId="77777777">
        <w:tc>
          <w:tcPr>
            <w:tcW w:w="2858" w:type="dxa"/>
          </w:tcPr>
          <w:p w:rsidRPr="00B7522A" w:rsidR="00B21EE2" w:rsidP="00E63540" w:rsidRDefault="00B21EE2" w14:paraId="57B8FC80" w14:textId="26A31516">
            <w:pPr>
              <w:pStyle w:val="Definitions"/>
              <w:ind w:left="0"/>
              <w:jc w:val="left"/>
            </w:pPr>
            <w:r>
              <w:t>“</w:t>
            </w:r>
            <w:r>
              <w:rPr>
                <w:u w:val="single"/>
              </w:rPr>
              <w:t>Accumulation Unit</w:t>
            </w:r>
            <w:r>
              <w:t>”</w:t>
            </w:r>
          </w:p>
        </w:tc>
        <w:tc>
          <w:tcPr>
            <w:tcW w:w="5957" w:type="dxa"/>
          </w:tcPr>
          <w:p w:rsidRPr="00B7522A" w:rsidR="00B21EE2" w:rsidP="00E63540" w:rsidRDefault="00946669" w14:paraId="2D3F3EE4" w14:textId="7A266DB9">
            <w:pPr>
              <w:pStyle w:val="Definitions"/>
              <w:ind w:left="0"/>
            </w:pPr>
            <w:r>
              <w:t>[in respect of a Sub-Fund]</w:t>
            </w:r>
            <w:r w:rsidRPr="002B14E8">
              <w:rPr>
                <w:vertAlign w:val="superscript"/>
              </w:rPr>
              <w:t>2</w:t>
            </w:r>
            <w:r>
              <w:t xml:space="preserve"> </w:t>
            </w:r>
            <w:r w:rsidR="00B21EE2">
              <w:t xml:space="preserve">a Unit </w:t>
            </w:r>
            <w:r>
              <w:t>(</w:t>
            </w:r>
            <w:r w:rsidR="00B21EE2">
              <w:t>of whatever Class</w:t>
            </w:r>
            <w:r>
              <w:t>)</w:t>
            </w:r>
            <w:r w:rsidR="00B21EE2">
              <w:t xml:space="preserve"> </w:t>
            </w:r>
            <w:r>
              <w:t>as may be in issue</w:t>
            </w:r>
            <w:r w:rsidR="00B21EE2">
              <w:t xml:space="preserve"> from time to time in respect of which income allocated thereto is credited periodically to capital pursuant to the FCA Rules;</w:t>
            </w:r>
            <w:r w:rsidR="00B21EE2">
              <w:rPr>
                <w:rFonts w:ascii="Times New Roman" w:hAnsi="Times New Roman" w:eastAsia="Arial" w:cs="Times New Roman"/>
                <w:sz w:val="24"/>
                <w:szCs w:val="24"/>
                <w:lang w:eastAsia="zh-CN"/>
              </w:rPr>
              <w:t xml:space="preserve"> </w:t>
            </w:r>
          </w:p>
        </w:tc>
      </w:tr>
      <w:tr w:rsidR="0092781E" w:rsidTr="0092781E" w14:paraId="6895468B" w14:textId="77777777">
        <w:tc>
          <w:tcPr>
            <w:tcW w:w="2858" w:type="dxa"/>
          </w:tcPr>
          <w:p w:rsidRPr="00B7522A" w:rsidR="00B21EE2" w:rsidP="00E63540" w:rsidRDefault="00B21EE2" w14:paraId="6D57E9C7" w14:textId="77777777">
            <w:pPr>
              <w:pStyle w:val="Definitions"/>
              <w:ind w:left="0"/>
              <w:jc w:val="left"/>
            </w:pPr>
            <w:r w:rsidRPr="00B7522A">
              <w:t>“</w:t>
            </w:r>
            <w:r w:rsidRPr="00B7522A">
              <w:rPr>
                <w:u w:val="single"/>
              </w:rPr>
              <w:t>Act</w:t>
            </w:r>
            <w:r w:rsidRPr="00B7522A">
              <w:t>”</w:t>
            </w:r>
          </w:p>
        </w:tc>
        <w:tc>
          <w:tcPr>
            <w:tcW w:w="5957" w:type="dxa"/>
          </w:tcPr>
          <w:p w:rsidRPr="00B7522A" w:rsidR="00B21EE2" w:rsidP="00E63540" w:rsidRDefault="00B21EE2" w14:paraId="60B05AB9" w14:textId="77777777">
            <w:pPr>
              <w:pStyle w:val="Definitions"/>
              <w:ind w:left="0"/>
            </w:pPr>
            <w:r w:rsidRPr="00B7522A">
              <w:t>the Financial Services and Markets Act 2000 of the United Kingdom;</w:t>
            </w:r>
          </w:p>
        </w:tc>
      </w:tr>
      <w:tr w:rsidR="0092781E" w:rsidTr="0092781E" w14:paraId="07F68EF0" w14:textId="77777777">
        <w:tc>
          <w:tcPr>
            <w:tcW w:w="2858" w:type="dxa"/>
          </w:tcPr>
          <w:p w:rsidRPr="00B7522A" w:rsidR="00B21EE2" w:rsidP="00E63540" w:rsidRDefault="00B21EE2" w14:paraId="4DB70DED" w14:textId="77777777">
            <w:pPr>
              <w:pStyle w:val="Definitions"/>
              <w:ind w:left="0"/>
              <w:jc w:val="left"/>
            </w:pPr>
            <w:r w:rsidRPr="00012F61">
              <w:t>“</w:t>
            </w:r>
            <w:r w:rsidRPr="00012F61">
              <w:rPr>
                <w:u w:val="single"/>
              </w:rPr>
              <w:t>AIF</w:t>
            </w:r>
            <w:r w:rsidRPr="00012F61">
              <w:t>”</w:t>
            </w:r>
          </w:p>
        </w:tc>
        <w:tc>
          <w:tcPr>
            <w:tcW w:w="5957" w:type="dxa"/>
          </w:tcPr>
          <w:p w:rsidRPr="00B7522A" w:rsidR="00B21EE2" w:rsidP="00E63540" w:rsidRDefault="00B21EE2" w14:paraId="029E24CD" w14:textId="1116A507">
            <w:pPr>
              <w:pStyle w:val="Definitions"/>
              <w:ind w:left="0"/>
            </w:pPr>
            <w:r w:rsidRPr="00012F61">
              <w:t>an alternative investment fund, as defined in the AIFM</w:t>
            </w:r>
            <w:r w:rsidR="006F7E70">
              <w:t>D</w:t>
            </w:r>
            <w:r w:rsidRPr="00012F61">
              <w:t xml:space="preserve"> Regulations;</w:t>
            </w:r>
          </w:p>
        </w:tc>
      </w:tr>
      <w:tr w:rsidR="007550BE" w:rsidTr="0092781E" w14:paraId="3F7FBA85" w14:textId="77777777">
        <w:tc>
          <w:tcPr>
            <w:tcW w:w="2858" w:type="dxa"/>
          </w:tcPr>
          <w:p w:rsidRPr="00012F61" w:rsidR="0002188E" w:rsidP="00E63540" w:rsidRDefault="0002188E" w14:paraId="003F07F4" w14:textId="734FDD09">
            <w:pPr>
              <w:pStyle w:val="Definitions"/>
              <w:ind w:left="0"/>
              <w:jc w:val="left"/>
            </w:pPr>
            <w:r>
              <w:t>“</w:t>
            </w:r>
            <w:r w:rsidRPr="006F7E70">
              <w:rPr>
                <w:u w:val="single"/>
              </w:rPr>
              <w:t>AIFM</w:t>
            </w:r>
            <w:r>
              <w:t>”</w:t>
            </w:r>
          </w:p>
        </w:tc>
        <w:tc>
          <w:tcPr>
            <w:tcW w:w="5957" w:type="dxa"/>
          </w:tcPr>
          <w:p w:rsidRPr="00012F61" w:rsidR="0002188E" w:rsidP="006F7E70" w:rsidRDefault="0002188E" w14:paraId="0D20D45D" w14:textId="2F4C4A2B">
            <w:pPr>
              <w:pStyle w:val="Definitions"/>
              <w:numPr>
                <w:ilvl w:val="0"/>
                <w:numId w:val="0"/>
              </w:numPr>
            </w:pPr>
            <w:r>
              <w:t xml:space="preserve">the alternative investment fund manager within the meaning of the AIFMD Regulations </w:t>
            </w:r>
            <w:r w:rsidR="004321DB">
              <w:t>and</w:t>
            </w:r>
            <w:r>
              <w:t xml:space="preserve">, in the context of the Scheme, shall </w:t>
            </w:r>
            <w:r w:rsidR="00946669">
              <w:t xml:space="preserve">mean </w:t>
            </w:r>
            <w:r>
              <w:t>the Manager;</w:t>
            </w:r>
          </w:p>
        </w:tc>
      </w:tr>
      <w:tr w:rsidR="0092781E" w:rsidTr="0092781E" w14:paraId="024D583A" w14:textId="77777777">
        <w:tc>
          <w:tcPr>
            <w:tcW w:w="2858" w:type="dxa"/>
          </w:tcPr>
          <w:p w:rsidRPr="00012F61" w:rsidR="00B21EE2" w:rsidP="00E63540" w:rsidRDefault="00B21EE2" w14:paraId="18D64517" w14:textId="77777777">
            <w:pPr>
              <w:pStyle w:val="Definitions"/>
              <w:ind w:left="0"/>
              <w:jc w:val="left"/>
            </w:pPr>
            <w:r w:rsidRPr="002A1E2E">
              <w:t>“</w:t>
            </w:r>
            <w:r>
              <w:rPr>
                <w:u w:val="single"/>
              </w:rPr>
              <w:t>AIFM</w:t>
            </w:r>
            <w:r w:rsidRPr="002A1E2E">
              <w:rPr>
                <w:u w:val="single"/>
              </w:rPr>
              <w:t xml:space="preserve"> Directive</w:t>
            </w:r>
            <w:r w:rsidRPr="002A1E2E">
              <w:t>”</w:t>
            </w:r>
          </w:p>
        </w:tc>
        <w:tc>
          <w:tcPr>
            <w:tcW w:w="5957" w:type="dxa"/>
          </w:tcPr>
          <w:p w:rsidRPr="00012F61" w:rsidR="00B21EE2" w:rsidP="00E63540" w:rsidRDefault="00B21EE2" w14:paraId="6F253ACA" w14:textId="77777777">
            <w:pPr>
              <w:pStyle w:val="Definitions"/>
              <w:ind w:left="0"/>
            </w:pPr>
            <w:r w:rsidRPr="002A1E2E">
              <w:t>Directive 2011/61/EU of the European Parliament and of the Council of 8 June 2011 on Alternative Investment Fund Managers and amending Directives 2003/41/EC and 2009/65/EC and Regulations (EC) No. 1060/2009 and (EU) No. 1095/2010;</w:t>
            </w:r>
          </w:p>
        </w:tc>
      </w:tr>
      <w:tr w:rsidR="0092781E" w:rsidTr="0092781E" w14:paraId="19EB1747" w14:textId="77777777">
        <w:tc>
          <w:tcPr>
            <w:tcW w:w="2858" w:type="dxa"/>
          </w:tcPr>
          <w:p w:rsidRPr="002A1E2E" w:rsidR="00B21EE2" w:rsidP="00E63540" w:rsidRDefault="00B21EE2" w14:paraId="6C3E561A" w14:textId="77777777">
            <w:pPr>
              <w:pStyle w:val="Definitions"/>
              <w:ind w:left="0"/>
              <w:jc w:val="left"/>
            </w:pPr>
            <w:r w:rsidRPr="00FE222B">
              <w:t>“</w:t>
            </w:r>
            <w:r w:rsidRPr="00FE222B">
              <w:rPr>
                <w:u w:val="single"/>
              </w:rPr>
              <w:t>AIFMD Level 2 Regulation</w:t>
            </w:r>
            <w:r w:rsidRPr="00FE222B">
              <w:t>”</w:t>
            </w:r>
          </w:p>
        </w:tc>
        <w:tc>
          <w:tcPr>
            <w:tcW w:w="5957" w:type="dxa"/>
          </w:tcPr>
          <w:p w:rsidRPr="002A1E2E" w:rsidR="00B21EE2" w:rsidP="00E63540" w:rsidRDefault="00B21EE2" w14:paraId="2E7A03A8" w14:textId="77777777">
            <w:pPr>
              <w:pStyle w:val="Definitions"/>
              <w:ind w:left="0"/>
            </w:pPr>
            <w:r w:rsidRPr="00FE222B">
              <w:t xml:space="preserve">the UK version of Commission Delegated Regulation (EU) No. 231/2013 with regard to exemptions, general operating conditions, depositaries, leverage, transparency and </w:t>
            </w:r>
            <w:r w:rsidRPr="00FE222B">
              <w:lastRenderedPageBreak/>
              <w:t>supervision (as amended from time to time) which is part of UK law by virtue of the European Union (Withdrawal) Act 2018;</w:t>
            </w:r>
          </w:p>
        </w:tc>
      </w:tr>
      <w:tr w:rsidR="0092781E" w:rsidTr="0092781E" w14:paraId="77AC772F" w14:textId="77777777">
        <w:trPr>
          <w:cantSplit/>
        </w:trPr>
        <w:tc>
          <w:tcPr>
            <w:tcW w:w="2858" w:type="dxa"/>
          </w:tcPr>
          <w:p w:rsidRPr="00FE222B" w:rsidR="00B21EE2" w:rsidP="00E63540" w:rsidRDefault="00B21EE2" w14:paraId="6AE8D110" w14:textId="77777777">
            <w:pPr>
              <w:pStyle w:val="Definitions"/>
              <w:ind w:left="0"/>
              <w:jc w:val="left"/>
            </w:pPr>
            <w:r w:rsidRPr="007D146E">
              <w:lastRenderedPageBreak/>
              <w:t>“</w:t>
            </w:r>
            <w:r w:rsidRPr="007D146E">
              <w:rPr>
                <w:u w:val="single"/>
              </w:rPr>
              <w:t>AIFMD Regulations</w:t>
            </w:r>
            <w:r w:rsidRPr="007D146E">
              <w:t>”</w:t>
            </w:r>
          </w:p>
        </w:tc>
        <w:tc>
          <w:tcPr>
            <w:tcW w:w="5957" w:type="dxa"/>
          </w:tcPr>
          <w:p w:rsidRPr="00FE222B" w:rsidR="00B21EE2" w:rsidP="00E63540" w:rsidRDefault="00B21EE2" w14:paraId="00A93D97" w14:textId="77777777">
            <w:pPr>
              <w:pStyle w:val="Definitions"/>
              <w:ind w:left="0"/>
            </w:pPr>
            <w:r w:rsidRPr="007D146E">
              <w:t>the AIFMD Level 2 Regulation, the UK AIFMD Regulations and such provisions of the FCA Rules as relate to, or concern the implementation of, the AIFM Directive and any other applicable legislation relating to, or concerning the implementation of, the AIFM Directive in the UK;</w:t>
            </w:r>
            <w:r>
              <w:t xml:space="preserve"> </w:t>
            </w:r>
          </w:p>
        </w:tc>
      </w:tr>
      <w:tr w:rsidR="0092781E" w:rsidTr="0092781E" w14:paraId="2ACE11B8" w14:textId="77777777">
        <w:tc>
          <w:tcPr>
            <w:tcW w:w="2858" w:type="dxa"/>
          </w:tcPr>
          <w:p w:rsidRPr="007D146E" w:rsidR="00B21EE2" w:rsidP="00E63540" w:rsidRDefault="00B21EE2" w14:paraId="2E654228" w14:textId="77777777">
            <w:pPr>
              <w:pStyle w:val="Definitions"/>
              <w:ind w:left="0"/>
              <w:jc w:val="left"/>
            </w:pPr>
            <w:r w:rsidRPr="00AD5D3B">
              <w:t>“</w:t>
            </w:r>
            <w:r w:rsidRPr="00AD5D3B">
              <w:rPr>
                <w:u w:val="single"/>
              </w:rPr>
              <w:t>Authorised Contract</w:t>
            </w:r>
            <w:r w:rsidRPr="00AD5D3B">
              <w:t>”</w:t>
            </w:r>
          </w:p>
        </w:tc>
        <w:tc>
          <w:tcPr>
            <w:tcW w:w="5957" w:type="dxa"/>
          </w:tcPr>
          <w:p w:rsidRPr="007D146E" w:rsidR="00B21EE2" w:rsidP="00E63540" w:rsidRDefault="00B21EE2" w14:paraId="7DA7D61D" w14:textId="334AD4E9">
            <w:pPr>
              <w:pStyle w:val="Definitions"/>
              <w:ind w:left="0"/>
            </w:pPr>
            <w:r w:rsidRPr="00AD5D3B">
              <w:t xml:space="preserve">a contract which the Manager is authorised to enter into on behalf of the Unitholders for the purposes of, or in connection with, the acquisition, management or disposal of property of the </w:t>
            </w:r>
            <w:r>
              <w:t>Scheme</w:t>
            </w:r>
            <w:r w:rsidRPr="00AD5D3B">
              <w:t xml:space="preserve"> (but does not include a contract by which a person becomes a Unitholder);</w:t>
            </w:r>
          </w:p>
        </w:tc>
      </w:tr>
      <w:tr w:rsidR="0092781E" w:rsidTr="0092781E" w14:paraId="6AC557B4" w14:textId="77777777">
        <w:tc>
          <w:tcPr>
            <w:tcW w:w="2858" w:type="dxa"/>
          </w:tcPr>
          <w:p w:rsidRPr="007D146E" w:rsidR="00B21EE2" w:rsidP="00E63540" w:rsidRDefault="00B21EE2" w14:paraId="3E8A8AFF" w14:textId="77777777">
            <w:pPr>
              <w:pStyle w:val="Definitions"/>
              <w:ind w:left="0"/>
              <w:jc w:val="left"/>
            </w:pPr>
            <w:r w:rsidRPr="00AD5D3B">
              <w:t>“</w:t>
            </w:r>
            <w:r w:rsidRPr="00AD5D3B">
              <w:rPr>
                <w:u w:val="single"/>
              </w:rPr>
              <w:t>Base Currency</w:t>
            </w:r>
            <w:r w:rsidRPr="00AD5D3B">
              <w:t>”</w:t>
            </w:r>
          </w:p>
        </w:tc>
        <w:tc>
          <w:tcPr>
            <w:tcW w:w="5957" w:type="dxa"/>
          </w:tcPr>
          <w:p w:rsidRPr="007D146E" w:rsidR="00B21EE2" w:rsidP="00E63540" w:rsidRDefault="00B21EE2" w14:paraId="64033998" w14:textId="36D7EDB1">
            <w:pPr>
              <w:pStyle w:val="Definitions"/>
              <w:ind w:left="0"/>
            </w:pPr>
            <w:r w:rsidRPr="00AD5D3B">
              <w:t xml:space="preserve">the currency in which the accounts of the </w:t>
            </w:r>
            <w:r>
              <w:t>Scheme</w:t>
            </w:r>
            <w:r w:rsidRPr="00AD5D3B">
              <w:t xml:space="preserve"> are to be prepared in accordance with this Deed </w:t>
            </w:r>
            <w:r w:rsidR="00782A35">
              <w:t>[</w:t>
            </w:r>
            <w:r w:rsidRPr="00AD5D3B">
              <w:t>provided that, in the context of a Sub-Fund, a Class</w:t>
            </w:r>
            <w:r w:rsidR="007E6EC8">
              <w:t>,</w:t>
            </w:r>
            <w:r w:rsidRPr="00AD5D3B">
              <w:t xml:space="preserve"> the price of a Unit relating to a Sub-Fund</w:t>
            </w:r>
            <w:r w:rsidR="007E6EC8">
              <w:t xml:space="preserve"> or a payment in respect of such </w:t>
            </w:r>
            <w:r w:rsidR="00946669">
              <w:t xml:space="preserve">a </w:t>
            </w:r>
            <w:r w:rsidR="007E6EC8">
              <w:t>Unit</w:t>
            </w:r>
            <w:r w:rsidRPr="00AD5D3B">
              <w:t>, reference to Base Currency shall be treated as a reference to the currency stated in the Prospectus as being the currency to be used for the purpose in question in relation to the relevant Sub-Fund or Class, as applicable</w:t>
            </w:r>
            <w:r w:rsidR="00782A35">
              <w:t>]</w:t>
            </w:r>
            <w:r w:rsidRPr="002B14E8" w:rsidR="002B14E8">
              <w:rPr>
                <w:vertAlign w:val="superscript"/>
              </w:rPr>
              <w:t>2</w:t>
            </w:r>
            <w:r w:rsidRPr="00AD5D3B">
              <w:t>;</w:t>
            </w:r>
          </w:p>
        </w:tc>
      </w:tr>
      <w:tr w:rsidR="0092781E" w:rsidTr="0092781E" w14:paraId="2C983A30" w14:textId="77777777">
        <w:tc>
          <w:tcPr>
            <w:tcW w:w="2858" w:type="dxa"/>
          </w:tcPr>
          <w:p w:rsidRPr="00AD5D3B" w:rsidR="00B21EE2" w:rsidP="00E63540" w:rsidRDefault="00B21EE2" w14:paraId="74421C0F" w14:textId="77777777">
            <w:pPr>
              <w:pStyle w:val="Definitions"/>
              <w:ind w:left="0"/>
              <w:jc w:val="left"/>
            </w:pPr>
            <w:r w:rsidRPr="00647BB7">
              <w:t>“</w:t>
            </w:r>
            <w:r w:rsidRPr="00647BB7">
              <w:rPr>
                <w:u w:val="single"/>
              </w:rPr>
              <w:t>Class</w:t>
            </w:r>
            <w:r w:rsidRPr="00647BB7">
              <w:t>”</w:t>
            </w:r>
          </w:p>
        </w:tc>
        <w:tc>
          <w:tcPr>
            <w:tcW w:w="5957" w:type="dxa"/>
          </w:tcPr>
          <w:p w:rsidRPr="00AD5D3B" w:rsidR="00B21EE2" w:rsidP="00E63540" w:rsidRDefault="00946669" w14:paraId="273B64D6" w14:textId="05B2EE6D">
            <w:pPr>
              <w:pStyle w:val="Definitions"/>
              <w:ind w:left="0"/>
            </w:pPr>
            <w:r>
              <w:t>[in respect of a Sub-Fund]</w:t>
            </w:r>
            <w:r w:rsidRPr="002B14E8">
              <w:rPr>
                <w:vertAlign w:val="superscript"/>
              </w:rPr>
              <w:t>2</w:t>
            </w:r>
            <w:r>
              <w:rPr>
                <w:vertAlign w:val="superscript"/>
              </w:rPr>
              <w:t xml:space="preserve"> </w:t>
            </w:r>
            <w:r w:rsidRPr="00647BB7" w:rsidR="00B21EE2">
              <w:t xml:space="preserve">(in relation to Units and according to the context) a particular class of Units </w:t>
            </w:r>
            <w:r>
              <w:t xml:space="preserve">as described in </w:t>
            </w:r>
            <w:r w:rsidR="00314A95">
              <w:t>C</w:t>
            </w:r>
            <w:r>
              <w:t xml:space="preserve">lause </w:t>
            </w:r>
            <w:r>
              <w:fldChar w:fldCharType="begin"/>
            </w:r>
            <w:r>
              <w:instrText xml:space="preserve"> REF _Ref160541914 \r \h </w:instrText>
            </w:r>
            <w:r>
              <w:fldChar w:fldCharType="separate"/>
            </w:r>
            <w:r w:rsidR="00663122">
              <w:rPr>
                <w:cs/>
              </w:rPr>
              <w:t>‎</w:t>
            </w:r>
            <w:r w:rsidR="00663122">
              <w:t>15.7</w:t>
            </w:r>
            <w:r>
              <w:fldChar w:fldCharType="end"/>
            </w:r>
            <w:r w:rsidRPr="00647BB7" w:rsidR="00B21EE2">
              <w:t>;</w:t>
            </w:r>
          </w:p>
        </w:tc>
      </w:tr>
      <w:tr w:rsidR="0092781E" w:rsidTr="0092781E" w14:paraId="1D2B52EA" w14:textId="77777777">
        <w:tc>
          <w:tcPr>
            <w:tcW w:w="2858" w:type="dxa"/>
          </w:tcPr>
          <w:p w:rsidRPr="00647BB7" w:rsidR="00B21EE2" w:rsidP="00E63540" w:rsidRDefault="00B21EE2" w14:paraId="66FD121C" w14:textId="77777777">
            <w:pPr>
              <w:pStyle w:val="Definitions"/>
              <w:ind w:left="0"/>
              <w:jc w:val="left"/>
            </w:pPr>
            <w:r w:rsidRPr="007B7320">
              <w:t>“</w:t>
            </w:r>
            <w:r w:rsidRPr="007B7320">
              <w:rPr>
                <w:u w:val="single"/>
              </w:rPr>
              <w:t>Class Meeting</w:t>
            </w:r>
            <w:r w:rsidRPr="007B7320">
              <w:t>”</w:t>
            </w:r>
          </w:p>
        </w:tc>
        <w:tc>
          <w:tcPr>
            <w:tcW w:w="5957" w:type="dxa"/>
          </w:tcPr>
          <w:p w:rsidRPr="00647BB7" w:rsidR="00B21EE2" w:rsidP="00E63540" w:rsidRDefault="00B21EE2" w14:paraId="15ACB1BD" w14:textId="77777777">
            <w:pPr>
              <w:pStyle w:val="Definitions"/>
              <w:ind w:left="0"/>
            </w:pPr>
            <w:r w:rsidRPr="007B7320">
              <w:t>a meeting of Unitholders of a Class;</w:t>
            </w:r>
          </w:p>
        </w:tc>
      </w:tr>
      <w:tr w:rsidR="0092781E" w:rsidTr="0092781E" w14:paraId="5C8B5633" w14:textId="77777777">
        <w:tc>
          <w:tcPr>
            <w:tcW w:w="2858" w:type="dxa"/>
          </w:tcPr>
          <w:p w:rsidRPr="00A96798" w:rsidR="00B21EE2" w:rsidP="00E63540" w:rsidRDefault="00B21EE2" w14:paraId="0923BD2B" w14:textId="77777777">
            <w:pPr>
              <w:pStyle w:val="Definitions"/>
              <w:ind w:left="0"/>
              <w:jc w:val="left"/>
            </w:pPr>
            <w:r w:rsidRPr="00DA13CA">
              <w:t>“</w:t>
            </w:r>
            <w:r w:rsidRPr="00DA13CA">
              <w:rPr>
                <w:u w:val="single"/>
              </w:rPr>
              <w:t>COLL Sourcebook</w:t>
            </w:r>
            <w:r w:rsidRPr="00DA13CA">
              <w:t>” or “</w:t>
            </w:r>
            <w:r w:rsidRPr="00DA13CA">
              <w:rPr>
                <w:u w:val="single"/>
              </w:rPr>
              <w:t>COLL</w:t>
            </w:r>
            <w:r w:rsidRPr="00DA13CA">
              <w:t>”</w:t>
            </w:r>
          </w:p>
        </w:tc>
        <w:tc>
          <w:tcPr>
            <w:tcW w:w="5957" w:type="dxa"/>
          </w:tcPr>
          <w:p w:rsidRPr="00A96798" w:rsidR="00B21EE2" w:rsidP="00E63540" w:rsidRDefault="00B21EE2" w14:paraId="3B1CD7B0" w14:textId="0A0CE830">
            <w:pPr>
              <w:pStyle w:val="Definitions"/>
              <w:ind w:left="0"/>
            </w:pPr>
            <w:r w:rsidRPr="00DA13CA">
              <w:t xml:space="preserve">the rules contained in the Collective Investment Schemes Sourcebook of the </w:t>
            </w:r>
            <w:bookmarkStart w:name="_DV_C56" w:id="10"/>
            <w:r w:rsidRPr="00DA13CA">
              <w:t>FCA</w:t>
            </w:r>
            <w:bookmarkEnd w:id="10"/>
            <w:r w:rsidRPr="00DA13CA">
              <w:t xml:space="preserve"> Rules, as amended or replaced, excluding, for the avoidance of doubt, any guidance or evidential provisions</w:t>
            </w:r>
            <w:r w:rsidR="007E6EC8">
              <w:t xml:space="preserve"> contained therein</w:t>
            </w:r>
            <w:r w:rsidRPr="00DA13CA">
              <w:t>;</w:t>
            </w:r>
          </w:p>
        </w:tc>
      </w:tr>
      <w:tr w:rsidR="0092781E" w:rsidTr="0092781E" w14:paraId="24061664" w14:textId="77777777">
        <w:tc>
          <w:tcPr>
            <w:tcW w:w="2858" w:type="dxa"/>
          </w:tcPr>
          <w:p w:rsidRPr="00FB726A" w:rsidR="00B21EE2" w:rsidP="00E63540" w:rsidRDefault="00B21EE2" w14:paraId="18DFAC25" w14:textId="77777777">
            <w:pPr>
              <w:pStyle w:val="Definitions"/>
              <w:ind w:left="0"/>
              <w:jc w:val="left"/>
            </w:pPr>
            <w:r w:rsidRPr="00CB61DC">
              <w:t>“</w:t>
            </w:r>
            <w:r w:rsidRPr="00CB61DC">
              <w:rPr>
                <w:u w:val="single"/>
              </w:rPr>
              <w:t>Co-Ownership Scheme</w:t>
            </w:r>
            <w:r w:rsidRPr="00CB61DC">
              <w:t>”</w:t>
            </w:r>
          </w:p>
        </w:tc>
        <w:tc>
          <w:tcPr>
            <w:tcW w:w="5957" w:type="dxa"/>
          </w:tcPr>
          <w:p w:rsidRPr="00FB726A" w:rsidR="00B21EE2" w:rsidP="00E63540" w:rsidRDefault="00B21EE2" w14:paraId="57DBBD9D" w14:textId="77777777">
            <w:pPr>
              <w:pStyle w:val="Definitions"/>
              <w:ind w:left="0"/>
            </w:pPr>
            <w:r w:rsidRPr="00CB61DC">
              <w:t>a collective investment scheme which satisfies the conditions in section 235A(3) of the Act and which is authorised for the purposes of the Act by an authorisation order;</w:t>
            </w:r>
          </w:p>
        </w:tc>
      </w:tr>
      <w:tr w:rsidR="0092781E" w:rsidTr="0092781E" w14:paraId="0C6ABED7" w14:textId="77777777">
        <w:tc>
          <w:tcPr>
            <w:tcW w:w="2858" w:type="dxa"/>
          </w:tcPr>
          <w:p w:rsidRPr="00CB61DC" w:rsidR="00B21EE2" w:rsidP="00E63540" w:rsidRDefault="00B21EE2" w14:paraId="1895B274" w14:textId="77777777">
            <w:pPr>
              <w:pStyle w:val="Definitions"/>
              <w:ind w:left="0"/>
              <w:jc w:val="left"/>
            </w:pPr>
            <w:r w:rsidRPr="00A943EC">
              <w:t>“</w:t>
            </w:r>
            <w:r w:rsidRPr="00A943EC">
              <w:rPr>
                <w:u w:val="single"/>
              </w:rPr>
              <w:t>Custodian</w:t>
            </w:r>
            <w:r w:rsidRPr="00A943EC">
              <w:t>”</w:t>
            </w:r>
          </w:p>
        </w:tc>
        <w:tc>
          <w:tcPr>
            <w:tcW w:w="5957" w:type="dxa"/>
          </w:tcPr>
          <w:p w:rsidRPr="00CB61DC" w:rsidR="00B21EE2" w:rsidP="00E63540" w:rsidRDefault="00B21EE2" w14:paraId="41EBC17D" w14:textId="2583AFA7">
            <w:pPr>
              <w:pStyle w:val="Definitions"/>
              <w:ind w:left="0"/>
            </w:pPr>
            <w:r w:rsidRPr="00A943EC">
              <w:t xml:space="preserve">at any time the person who at that time has been appointed to act as the custodian of the </w:t>
            </w:r>
            <w:r>
              <w:t>Scheme</w:t>
            </w:r>
            <w:r w:rsidRPr="00A943EC">
              <w:t xml:space="preserve"> </w:t>
            </w:r>
            <w:r w:rsidR="002B14E8">
              <w:t>[</w:t>
            </w:r>
            <w:r w:rsidRPr="00A943EC">
              <w:t>or in respect of any Sub-Fund</w:t>
            </w:r>
            <w:r w:rsidR="002B14E8">
              <w:t>]</w:t>
            </w:r>
            <w:r w:rsidRPr="002B14E8" w:rsidR="002B14E8">
              <w:rPr>
                <w:vertAlign w:val="superscript"/>
              </w:rPr>
              <w:t>2</w:t>
            </w:r>
            <w:r w:rsidRPr="00A943EC">
              <w:t>;</w:t>
            </w:r>
          </w:p>
        </w:tc>
      </w:tr>
      <w:tr w:rsidR="0092781E" w:rsidTr="0092781E" w14:paraId="65834489" w14:textId="77777777">
        <w:tc>
          <w:tcPr>
            <w:tcW w:w="2858" w:type="dxa"/>
          </w:tcPr>
          <w:p w:rsidRPr="00F065D1" w:rsidR="00B21EE2" w:rsidP="00E63540" w:rsidRDefault="00B21EE2" w14:paraId="72B7CAE2" w14:textId="77777777">
            <w:pPr>
              <w:pStyle w:val="Definitions"/>
              <w:ind w:left="0"/>
              <w:jc w:val="left"/>
            </w:pPr>
            <w:r w:rsidRPr="00FB726A">
              <w:t>“</w:t>
            </w:r>
            <w:r w:rsidRPr="00FB726A">
              <w:rPr>
                <w:u w:val="single"/>
              </w:rPr>
              <w:t>Deed</w:t>
            </w:r>
            <w:r w:rsidRPr="00FB726A">
              <w:t>”</w:t>
            </w:r>
          </w:p>
        </w:tc>
        <w:tc>
          <w:tcPr>
            <w:tcW w:w="5957" w:type="dxa"/>
          </w:tcPr>
          <w:p w:rsidRPr="00F065D1" w:rsidR="00B21EE2" w:rsidP="00E63540" w:rsidRDefault="00B21EE2" w14:paraId="0FEF2C4D" w14:textId="47112C91">
            <w:pPr>
              <w:pStyle w:val="Definitions"/>
              <w:ind w:left="0"/>
            </w:pPr>
            <w:r w:rsidRPr="00FB726A">
              <w:t xml:space="preserve">this deed constituting the </w:t>
            </w:r>
            <w:r>
              <w:t>Scheme</w:t>
            </w:r>
            <w:r w:rsidRPr="00FB726A">
              <w:t xml:space="preserve"> as amended</w:t>
            </w:r>
            <w:r w:rsidR="0002188E">
              <w:t>, supplemented and/or restated</w:t>
            </w:r>
            <w:r w:rsidRPr="00FB726A">
              <w:t xml:space="preserve"> from time to time in accordance with the applicable FCA Rules;</w:t>
            </w:r>
          </w:p>
        </w:tc>
      </w:tr>
      <w:tr w:rsidR="0092781E" w:rsidTr="0092781E" w14:paraId="7C8690ED" w14:textId="77777777">
        <w:tc>
          <w:tcPr>
            <w:tcW w:w="2858" w:type="dxa"/>
          </w:tcPr>
          <w:p w:rsidRPr="003B2B0E" w:rsidR="00B21EE2" w:rsidP="00E63540" w:rsidRDefault="00B21EE2" w14:paraId="77E92F4E" w14:textId="77777777">
            <w:pPr>
              <w:pStyle w:val="Definitions"/>
              <w:ind w:left="0"/>
              <w:jc w:val="left"/>
            </w:pPr>
            <w:r w:rsidRPr="00F065D1">
              <w:t>“</w:t>
            </w:r>
            <w:r w:rsidRPr="00F065D1">
              <w:rPr>
                <w:u w:val="single"/>
              </w:rPr>
              <w:t>Depositary</w:t>
            </w:r>
            <w:r w:rsidRPr="00F065D1">
              <w:t>”</w:t>
            </w:r>
          </w:p>
        </w:tc>
        <w:tc>
          <w:tcPr>
            <w:tcW w:w="5957" w:type="dxa"/>
          </w:tcPr>
          <w:p w:rsidRPr="003B2B0E" w:rsidR="00B21EE2" w:rsidP="00E63540" w:rsidRDefault="004A2385" w14:paraId="47C8C6FC" w14:textId="507DD6C2">
            <w:pPr>
              <w:pStyle w:val="Definitions"/>
              <w:ind w:left="0"/>
            </w:pPr>
            <w:r>
              <w:t>the person appointed from time to time whom is entrusted the safekeeping of all the Scheme Property (other than certain Scheme Property designated by the FCA Rules) and who has been appointed for this purpose in accordance with the UK AIFMD Regulations;</w:t>
            </w:r>
            <w:r w:rsidR="00B21EE2">
              <w:t>;</w:t>
            </w:r>
          </w:p>
        </w:tc>
      </w:tr>
      <w:tr w:rsidR="0092781E" w:rsidTr="0092781E" w14:paraId="5C5B7B89" w14:textId="77777777">
        <w:tc>
          <w:tcPr>
            <w:tcW w:w="2858" w:type="dxa"/>
          </w:tcPr>
          <w:p w:rsidRPr="00F065D1" w:rsidR="00B21EE2" w:rsidP="00E63540" w:rsidRDefault="00B21EE2" w14:paraId="5172DD11" w14:textId="77777777">
            <w:pPr>
              <w:pStyle w:val="Definitions"/>
              <w:ind w:left="0"/>
              <w:jc w:val="left"/>
            </w:pPr>
            <w:r w:rsidRPr="00AA5E26">
              <w:lastRenderedPageBreak/>
              <w:t>“</w:t>
            </w:r>
            <w:r w:rsidRPr="00AA5E26">
              <w:rPr>
                <w:u w:val="single"/>
              </w:rPr>
              <w:t>Eligible Investor</w:t>
            </w:r>
            <w:r w:rsidRPr="00AA5E26">
              <w:t>”</w:t>
            </w:r>
          </w:p>
        </w:tc>
        <w:tc>
          <w:tcPr>
            <w:tcW w:w="5957" w:type="dxa"/>
          </w:tcPr>
          <w:p w:rsidRPr="00F065D1" w:rsidR="00B21EE2" w:rsidP="00E63540" w:rsidRDefault="00B21EE2" w14:paraId="3E97B084" w14:textId="77777777">
            <w:pPr>
              <w:pStyle w:val="Definitions"/>
              <w:ind w:left="0"/>
            </w:pPr>
            <w:r w:rsidRPr="00AA5E26">
              <w:t>a person: (a) who is (</w:t>
            </w:r>
            <w:proofErr w:type="spellStart"/>
            <w:r w:rsidRPr="00AA5E26">
              <w:t>i</w:t>
            </w:r>
            <w:proofErr w:type="spellEnd"/>
            <w:r w:rsidRPr="00AA5E26">
              <w:t xml:space="preserve">) a Professional ACS Investor; (ii) a Large ACS Investor; or (iii) a person who already holds Units; and (b) to whom units in an LTAF may be promoted under the FCA Rules; </w:t>
            </w:r>
          </w:p>
        </w:tc>
      </w:tr>
      <w:tr w:rsidR="0092781E" w:rsidTr="0092781E" w14:paraId="08A5A059" w14:textId="77777777">
        <w:tc>
          <w:tcPr>
            <w:tcW w:w="2858" w:type="dxa"/>
          </w:tcPr>
          <w:p w:rsidRPr="00AA5E26" w:rsidR="00B21EE2" w:rsidP="00E63540" w:rsidRDefault="00B21EE2" w14:paraId="3C9F30D4" w14:textId="77777777">
            <w:pPr>
              <w:pStyle w:val="Definitions"/>
              <w:ind w:left="0"/>
              <w:jc w:val="left"/>
            </w:pPr>
            <w:r w:rsidRPr="00822A60">
              <w:t>“</w:t>
            </w:r>
            <w:r w:rsidRPr="00822A60">
              <w:rPr>
                <w:u w:val="single"/>
              </w:rPr>
              <w:t>FCA</w:t>
            </w:r>
            <w:r w:rsidRPr="00822A60">
              <w:t>”</w:t>
            </w:r>
          </w:p>
        </w:tc>
        <w:tc>
          <w:tcPr>
            <w:tcW w:w="5957" w:type="dxa"/>
          </w:tcPr>
          <w:p w:rsidRPr="00AA5E26" w:rsidR="00B21EE2" w:rsidP="00E63540" w:rsidRDefault="00B21EE2" w14:paraId="42210ABC" w14:textId="06A4BF99">
            <w:pPr>
              <w:pStyle w:val="Definitions"/>
              <w:ind w:left="0"/>
            </w:pPr>
            <w:r w:rsidRPr="00822A60">
              <w:t xml:space="preserve">the Financial Conduct Authority of the United Kingdom </w:t>
            </w:r>
            <w:r w:rsidR="004A2385">
              <w:t>or</w:t>
            </w:r>
            <w:r w:rsidRPr="00822A60" w:rsidR="004A2385">
              <w:t xml:space="preserve"> </w:t>
            </w:r>
            <w:r w:rsidRPr="00822A60">
              <w:t>any successor</w:t>
            </w:r>
            <w:r w:rsidR="004A2385">
              <w:t xml:space="preserve"> regulatory</w:t>
            </w:r>
            <w:r w:rsidRPr="00822A60">
              <w:t xml:space="preserve"> body</w:t>
            </w:r>
            <w:r w:rsidR="009778B5">
              <w:t xml:space="preserve"> or bodies</w:t>
            </w:r>
            <w:r>
              <w:t>;</w:t>
            </w:r>
          </w:p>
        </w:tc>
      </w:tr>
      <w:tr w:rsidR="0092781E" w:rsidTr="0092781E" w14:paraId="4E9D4732" w14:textId="77777777">
        <w:tc>
          <w:tcPr>
            <w:tcW w:w="2858" w:type="dxa"/>
          </w:tcPr>
          <w:p w:rsidRPr="00AA5E26" w:rsidR="00B21EE2" w:rsidP="00E63540" w:rsidRDefault="00B21EE2" w14:paraId="550525D6" w14:textId="77777777">
            <w:pPr>
              <w:pStyle w:val="Definitions"/>
              <w:ind w:left="0"/>
              <w:jc w:val="left"/>
            </w:pPr>
            <w:r w:rsidRPr="00822A60">
              <w:t>“</w:t>
            </w:r>
            <w:r w:rsidRPr="00822A60">
              <w:rPr>
                <w:u w:val="single"/>
              </w:rPr>
              <w:t>FCA Rules</w:t>
            </w:r>
            <w:r w:rsidRPr="00822A60">
              <w:t>”</w:t>
            </w:r>
          </w:p>
        </w:tc>
        <w:tc>
          <w:tcPr>
            <w:tcW w:w="5957" w:type="dxa"/>
          </w:tcPr>
          <w:p w:rsidRPr="00AA5E26" w:rsidR="00B21EE2" w:rsidP="00E63540" w:rsidRDefault="00B21EE2" w14:paraId="418962BA" w14:textId="77777777">
            <w:pPr>
              <w:pStyle w:val="Definitions"/>
              <w:ind w:left="0"/>
            </w:pPr>
            <w:r w:rsidRPr="00822A60">
              <w:t xml:space="preserve">the </w:t>
            </w:r>
            <w:bookmarkStart w:name="_DV_C70" w:id="11"/>
            <w:r w:rsidRPr="00822A60">
              <w:t>FCA</w:t>
            </w:r>
            <w:bookmarkEnd w:id="11"/>
            <w:r w:rsidRPr="00822A60">
              <w:t xml:space="preserve"> Handbook of Rules and Guidance made under the Act, as amended, revised, updated or supplanted </w:t>
            </w:r>
            <w:bookmarkStart w:name="_DV_C72" w:id="12"/>
            <w:r w:rsidRPr="00822A60">
              <w:t>from time to time, including</w:t>
            </w:r>
            <w:bookmarkEnd w:id="12"/>
            <w:r w:rsidRPr="00822A60">
              <w:t xml:space="preserve">, for the avoidance of any doubt, </w:t>
            </w:r>
            <w:bookmarkStart w:name="_DV_C74" w:id="13"/>
            <w:r w:rsidRPr="00822A60">
              <w:t>the COLL Sourcebook</w:t>
            </w:r>
            <w:bookmarkEnd w:id="13"/>
            <w:r w:rsidRPr="00822A60">
              <w:t xml:space="preserve"> and the FUND Sourcebook;</w:t>
            </w:r>
          </w:p>
        </w:tc>
      </w:tr>
      <w:tr w:rsidR="0092781E" w:rsidTr="0092781E" w14:paraId="5A5DD39A" w14:textId="77777777">
        <w:tc>
          <w:tcPr>
            <w:tcW w:w="2858" w:type="dxa"/>
          </w:tcPr>
          <w:p w:rsidRPr="00AA5E26" w:rsidR="00B21EE2" w:rsidP="00E63540" w:rsidRDefault="00B21EE2" w14:paraId="02C129E7" w14:textId="77777777">
            <w:pPr>
              <w:pStyle w:val="Definitions"/>
              <w:ind w:left="0"/>
              <w:jc w:val="left"/>
            </w:pPr>
            <w:r w:rsidRPr="00822A60">
              <w:t>“</w:t>
            </w:r>
            <w:r w:rsidRPr="00822A60">
              <w:rPr>
                <w:u w:val="single"/>
              </w:rPr>
              <w:t>FUND Sourcebook</w:t>
            </w:r>
            <w:r w:rsidRPr="00822A60">
              <w:t>” or “</w:t>
            </w:r>
            <w:r w:rsidRPr="00822A60">
              <w:rPr>
                <w:u w:val="single"/>
              </w:rPr>
              <w:t>FUND</w:t>
            </w:r>
            <w:r w:rsidRPr="00822A60">
              <w:t>”</w:t>
            </w:r>
          </w:p>
        </w:tc>
        <w:tc>
          <w:tcPr>
            <w:tcW w:w="5957" w:type="dxa"/>
          </w:tcPr>
          <w:p w:rsidRPr="00AA5E26" w:rsidR="00B21EE2" w:rsidP="00E63540" w:rsidRDefault="00B21EE2" w14:paraId="47712323" w14:textId="4AD683F6">
            <w:pPr>
              <w:pStyle w:val="Definitions"/>
              <w:ind w:left="0"/>
            </w:pPr>
            <w:r w:rsidRPr="00822A60">
              <w:t>the rules contained in the Investment Funds Sourcebook of the FCA Rules, as amended or replaced, excluding, for the avoidance of doubt, any guidance or evidential provisions</w:t>
            </w:r>
            <w:r w:rsidR="0026259E">
              <w:t xml:space="preserve"> contained therein</w:t>
            </w:r>
            <w:r w:rsidRPr="00822A60">
              <w:t>;</w:t>
            </w:r>
          </w:p>
        </w:tc>
      </w:tr>
      <w:tr w:rsidR="0092781E" w:rsidTr="0092781E" w14:paraId="6BAEDB9E" w14:textId="77777777">
        <w:tc>
          <w:tcPr>
            <w:tcW w:w="2858" w:type="dxa"/>
          </w:tcPr>
          <w:p w:rsidRPr="00152202" w:rsidR="00B21EE2" w:rsidP="00E63540" w:rsidRDefault="00B21EE2" w14:paraId="089E7FE2" w14:textId="77777777">
            <w:pPr>
              <w:pStyle w:val="Definitions"/>
              <w:ind w:left="0"/>
              <w:jc w:val="left"/>
            </w:pPr>
            <w:r w:rsidRPr="001769BF">
              <w:t>“</w:t>
            </w:r>
            <w:r w:rsidRPr="001769BF">
              <w:rPr>
                <w:u w:val="single"/>
              </w:rPr>
              <w:t>Glossary</w:t>
            </w:r>
            <w:r w:rsidRPr="001769BF">
              <w:t>”</w:t>
            </w:r>
          </w:p>
        </w:tc>
        <w:tc>
          <w:tcPr>
            <w:tcW w:w="5957" w:type="dxa"/>
          </w:tcPr>
          <w:p w:rsidRPr="00152202" w:rsidR="00B21EE2" w:rsidP="00E63540" w:rsidRDefault="00B21EE2" w14:paraId="439CA691" w14:textId="77777777">
            <w:pPr>
              <w:pStyle w:val="Definitions"/>
              <w:ind w:left="0"/>
            </w:pPr>
            <w:r w:rsidRPr="001769BF">
              <w:t>the glossary of definitions to the FCA Rules;</w:t>
            </w:r>
          </w:p>
        </w:tc>
      </w:tr>
      <w:tr w:rsidR="0092781E" w:rsidTr="0092781E" w14:paraId="1CF14793" w14:textId="77777777">
        <w:tc>
          <w:tcPr>
            <w:tcW w:w="2858" w:type="dxa"/>
          </w:tcPr>
          <w:p w:rsidRPr="0079691A" w:rsidR="00B21EE2" w:rsidP="00E63540" w:rsidRDefault="00B21EE2" w14:paraId="767D1E84" w14:textId="16F781C4">
            <w:pPr>
              <w:pStyle w:val="Definitions"/>
              <w:ind w:left="0"/>
              <w:jc w:val="left"/>
            </w:pPr>
            <w:r w:rsidRPr="00A24311">
              <w:t>“</w:t>
            </w:r>
            <w:r w:rsidRPr="00A24311">
              <w:rPr>
                <w:u w:val="single"/>
              </w:rPr>
              <w:t>Income Unit</w:t>
            </w:r>
            <w:r w:rsidR="004A2385">
              <w:rPr>
                <w:u w:val="single"/>
              </w:rPr>
              <w:t>s</w:t>
            </w:r>
            <w:r w:rsidRPr="00A24311">
              <w:t>”</w:t>
            </w:r>
          </w:p>
        </w:tc>
        <w:tc>
          <w:tcPr>
            <w:tcW w:w="5957" w:type="dxa"/>
          </w:tcPr>
          <w:p w:rsidRPr="0079691A" w:rsidR="00B21EE2" w:rsidP="00E63540" w:rsidRDefault="004A2385" w14:paraId="3908AD68" w14:textId="71DFD0D7">
            <w:pPr>
              <w:pStyle w:val="Definitions"/>
              <w:ind w:left="0"/>
            </w:pPr>
            <w:r>
              <w:t>[in respect of a Sub-Fund]</w:t>
            </w:r>
            <w:r w:rsidRPr="002B14E8">
              <w:rPr>
                <w:vertAlign w:val="superscript"/>
              </w:rPr>
              <w:t>2</w:t>
            </w:r>
            <w:r>
              <w:t xml:space="preserve"> </w:t>
            </w:r>
            <w:r w:rsidRPr="00A24311" w:rsidR="00B21EE2">
              <w:t xml:space="preserve"> Unit</w:t>
            </w:r>
            <w:r>
              <w:t>s</w:t>
            </w:r>
            <w:r w:rsidRPr="00A24311" w:rsidR="00B21EE2">
              <w:t xml:space="preserve"> </w:t>
            </w:r>
            <w:r>
              <w:t>(</w:t>
            </w:r>
            <w:r w:rsidRPr="00A24311" w:rsidR="00B21EE2">
              <w:t>of whatever Class</w:t>
            </w:r>
            <w:r>
              <w:t>) as may be in</w:t>
            </w:r>
            <w:r w:rsidRPr="00A24311" w:rsidR="00B21EE2">
              <w:t xml:space="preserve"> issue from time to time</w:t>
            </w:r>
            <w:r>
              <w:t xml:space="preserve"> and</w:t>
            </w:r>
            <w:r w:rsidRPr="00A24311" w:rsidR="00B21EE2">
              <w:t xml:space="preserve"> in respect of which income allocated thereto is</w:t>
            </w:r>
            <w:r>
              <w:t xml:space="preserve"> distributed</w:t>
            </w:r>
            <w:r w:rsidRPr="00A24311" w:rsidR="00B21EE2">
              <w:t xml:space="preserve"> periodically to holders thereof pursuant to the FCA Rules;</w:t>
            </w:r>
          </w:p>
        </w:tc>
      </w:tr>
      <w:tr w:rsidR="0092781E" w:rsidTr="0092781E" w14:paraId="08807BF2" w14:textId="77777777">
        <w:tc>
          <w:tcPr>
            <w:tcW w:w="2858" w:type="dxa"/>
          </w:tcPr>
          <w:p w:rsidRPr="00A24311" w:rsidR="00B21EE2" w:rsidP="00E63540" w:rsidRDefault="00B21EE2" w14:paraId="6F538F3E" w14:textId="77777777">
            <w:pPr>
              <w:pStyle w:val="Definitions"/>
              <w:ind w:left="0"/>
              <w:jc w:val="left"/>
            </w:pPr>
            <w:r>
              <w:t>[</w:t>
            </w:r>
            <w:r w:rsidRPr="00635FA5">
              <w:t>“</w:t>
            </w:r>
            <w:r w:rsidRPr="00635FA5">
              <w:rPr>
                <w:u w:val="single"/>
              </w:rPr>
              <w:t>Intermediate Holding Vehicle</w:t>
            </w:r>
            <w:r w:rsidRPr="00635FA5">
              <w:t>”</w:t>
            </w:r>
          </w:p>
        </w:tc>
        <w:tc>
          <w:tcPr>
            <w:tcW w:w="5957" w:type="dxa"/>
          </w:tcPr>
          <w:p w:rsidRPr="00A24311" w:rsidR="00B21EE2" w:rsidP="00E63540" w:rsidRDefault="00B21EE2" w14:paraId="73AB2A3E" w14:textId="6DB6C6A2">
            <w:pPr>
              <w:pStyle w:val="Definitions"/>
              <w:ind w:left="0"/>
            </w:pPr>
            <w:r w:rsidRPr="00635FA5">
              <w:t xml:space="preserve">a </w:t>
            </w:r>
            <w:r>
              <w:t>company</w:t>
            </w:r>
            <w:r w:rsidRPr="00635FA5">
              <w:t xml:space="preserve">, trust or partnership but not a collective investment scheme, whose purpose is to enable the holding of overseas immovables on behalf of an LTAF such as the </w:t>
            </w:r>
            <w:r>
              <w:t>Scheme</w:t>
            </w:r>
            <w:r w:rsidRPr="00635FA5">
              <w:t>;</w:t>
            </w:r>
            <w:r>
              <w:t>]</w:t>
            </w:r>
            <w:r w:rsidR="00C23729">
              <w:rPr>
                <w:rStyle w:val="EndnoteReference"/>
              </w:rPr>
              <w:endnoteReference w:id="2"/>
            </w:r>
          </w:p>
        </w:tc>
      </w:tr>
      <w:tr w:rsidR="0092781E" w:rsidTr="0092781E" w14:paraId="2F6F87B5" w14:textId="77777777">
        <w:tc>
          <w:tcPr>
            <w:tcW w:w="2858" w:type="dxa"/>
          </w:tcPr>
          <w:p w:rsidRPr="00A24311" w:rsidR="00B21EE2" w:rsidP="00E63540" w:rsidRDefault="00B21EE2" w14:paraId="441FAA49" w14:textId="77777777">
            <w:pPr>
              <w:pStyle w:val="Definitions"/>
              <w:ind w:left="0"/>
              <w:jc w:val="left"/>
            </w:pPr>
            <w:r w:rsidRPr="0087523B">
              <w:t>“</w:t>
            </w:r>
            <w:r w:rsidRPr="0087523B">
              <w:rPr>
                <w:u w:val="single"/>
              </w:rPr>
              <w:t xml:space="preserve">Investment </w:t>
            </w:r>
            <w:r>
              <w:rPr>
                <w:u w:val="single"/>
              </w:rPr>
              <w:t>Adviser</w:t>
            </w:r>
            <w:r w:rsidRPr="0087523B">
              <w:t>”</w:t>
            </w:r>
          </w:p>
        </w:tc>
        <w:tc>
          <w:tcPr>
            <w:tcW w:w="5957" w:type="dxa"/>
          </w:tcPr>
          <w:p w:rsidRPr="00A24311" w:rsidR="00B21EE2" w:rsidP="00E63540" w:rsidRDefault="00B21EE2" w14:paraId="0DD49547" w14:textId="698F28D4">
            <w:pPr>
              <w:pStyle w:val="Definitions"/>
              <w:ind w:left="0"/>
            </w:pPr>
            <w:r w:rsidRPr="0087523B">
              <w:t xml:space="preserve">at any time the person who at that time has been appointed to act as </w:t>
            </w:r>
            <w:r>
              <w:t>investment adviser (as defined in the FCA Rules)</w:t>
            </w:r>
            <w:r w:rsidRPr="0087523B">
              <w:t xml:space="preserve"> of the </w:t>
            </w:r>
            <w:r>
              <w:t>Scheme</w:t>
            </w:r>
            <w:r w:rsidRPr="0087523B">
              <w:t xml:space="preserve"> </w:t>
            </w:r>
            <w:r w:rsidR="002B14E8">
              <w:t>[</w:t>
            </w:r>
            <w:r w:rsidRPr="0087523B">
              <w:t>or any Sub-Fund</w:t>
            </w:r>
            <w:r w:rsidR="002B14E8">
              <w:t>]</w:t>
            </w:r>
            <w:r w:rsidRPr="002B14E8" w:rsidR="002B14E8">
              <w:rPr>
                <w:vertAlign w:val="superscript"/>
              </w:rPr>
              <w:t>2</w:t>
            </w:r>
            <w:r w:rsidRPr="0087523B">
              <w:t>;</w:t>
            </w:r>
          </w:p>
        </w:tc>
      </w:tr>
      <w:tr w:rsidR="0092781E" w:rsidTr="0092781E" w14:paraId="5D9806B7" w14:textId="77777777">
        <w:trPr>
          <w:cantSplit/>
        </w:trPr>
        <w:tc>
          <w:tcPr>
            <w:tcW w:w="2858" w:type="dxa"/>
          </w:tcPr>
          <w:p w:rsidRPr="00A24311" w:rsidR="00B21EE2" w:rsidP="00E63540" w:rsidRDefault="00B21EE2" w14:paraId="64B5E618" w14:textId="77777777">
            <w:pPr>
              <w:pStyle w:val="Definitions"/>
              <w:ind w:left="0"/>
              <w:jc w:val="left"/>
            </w:pPr>
            <w:r w:rsidRPr="00B50F0A">
              <w:t>“</w:t>
            </w:r>
            <w:r w:rsidRPr="00B50F0A">
              <w:rPr>
                <w:u w:val="single"/>
              </w:rPr>
              <w:t>Large ACS Investor</w:t>
            </w:r>
            <w:r w:rsidRPr="00B50F0A">
              <w:t>”</w:t>
            </w:r>
          </w:p>
        </w:tc>
        <w:tc>
          <w:tcPr>
            <w:tcW w:w="5957" w:type="dxa"/>
          </w:tcPr>
          <w:p w:rsidRPr="00A24311" w:rsidR="00B21EE2" w:rsidP="00E63540" w:rsidRDefault="00B21EE2" w14:paraId="31492187" w14:textId="340AF479">
            <w:pPr>
              <w:pStyle w:val="Definitions"/>
              <w:ind w:left="0"/>
            </w:pPr>
            <w:r w:rsidRPr="00B50F0A">
              <w:t xml:space="preserve">a person who in exchange for Units in the </w:t>
            </w:r>
            <w:r>
              <w:t>Scheme</w:t>
            </w:r>
            <w:r w:rsidRPr="00B50F0A">
              <w:t>: (a) makes a payment of not less than £1,000,000; or (b) contributes property with a value of not less than £1,000,000;</w:t>
            </w:r>
          </w:p>
        </w:tc>
      </w:tr>
      <w:tr w:rsidR="00726E9D" w:rsidTr="0092781E" w14:paraId="00336DA1" w14:textId="77777777">
        <w:tc>
          <w:tcPr>
            <w:tcW w:w="2858" w:type="dxa"/>
          </w:tcPr>
          <w:p w:rsidR="00726E9D" w:rsidP="00E63540" w:rsidRDefault="00726E9D" w14:paraId="38B2ECC7" w14:textId="3E39936D">
            <w:pPr>
              <w:pStyle w:val="Definitions"/>
              <w:ind w:left="0"/>
              <w:jc w:val="left"/>
            </w:pPr>
            <w:r>
              <w:t>[“</w:t>
            </w:r>
            <w:r>
              <w:rPr>
                <w:u w:val="single"/>
              </w:rPr>
              <w:t>Limited Protection LTAF Class</w:t>
            </w:r>
            <w:r>
              <w:t>”</w:t>
            </w:r>
          </w:p>
        </w:tc>
        <w:tc>
          <w:tcPr>
            <w:tcW w:w="5957" w:type="dxa"/>
          </w:tcPr>
          <w:p w:rsidR="00726E9D" w:rsidP="00E63540" w:rsidRDefault="00726E9D" w14:paraId="43326AAE" w14:textId="49DD4B9C">
            <w:pPr>
              <w:pStyle w:val="Definitions"/>
              <w:ind w:left="0"/>
            </w:pPr>
            <w:r>
              <w:t>has the meaning set out in the Glossary</w:t>
            </w:r>
            <w:r w:rsidR="007D0B83">
              <w:t>;</w:t>
            </w:r>
            <w:r>
              <w:t>]</w:t>
            </w:r>
            <w:r>
              <w:rPr>
                <w:rStyle w:val="EndnoteReference"/>
              </w:rPr>
              <w:endnoteReference w:id="3"/>
            </w:r>
          </w:p>
        </w:tc>
      </w:tr>
      <w:tr w:rsidR="007550BE" w:rsidTr="0092781E" w14:paraId="2ED65A26" w14:textId="77777777">
        <w:tc>
          <w:tcPr>
            <w:tcW w:w="2858" w:type="dxa"/>
          </w:tcPr>
          <w:p w:rsidRPr="00B50F0A" w:rsidR="0092781E" w:rsidP="00E63540" w:rsidRDefault="0092781E" w14:paraId="2D250352" w14:textId="355872EF">
            <w:pPr>
              <w:pStyle w:val="Definitions"/>
              <w:ind w:left="0"/>
              <w:jc w:val="left"/>
            </w:pPr>
            <w:r>
              <w:t>[“</w:t>
            </w:r>
            <w:r>
              <w:rPr>
                <w:u w:val="single"/>
              </w:rPr>
              <w:t>Limited Protection LTAF Investor</w:t>
            </w:r>
            <w:r>
              <w:t xml:space="preserve">” </w:t>
            </w:r>
          </w:p>
        </w:tc>
        <w:tc>
          <w:tcPr>
            <w:tcW w:w="5957" w:type="dxa"/>
          </w:tcPr>
          <w:p w:rsidRPr="00B50F0A" w:rsidR="0092781E" w:rsidP="00E63540" w:rsidRDefault="0092781E" w14:paraId="7FFD2DE3" w14:textId="1AB8FC3F">
            <w:pPr>
              <w:pStyle w:val="Definitions"/>
              <w:ind w:left="0"/>
            </w:pPr>
            <w:r>
              <w:t>has the meaning set out in the Glossary</w:t>
            </w:r>
            <w:r w:rsidR="007D0B83">
              <w:t>;</w:t>
            </w:r>
            <w:r>
              <w:t>]</w:t>
            </w:r>
            <w:r w:rsidR="005A54C9">
              <w:rPr>
                <w:rStyle w:val="EndnoteReference"/>
              </w:rPr>
              <w:endnoteReference w:id="4"/>
            </w:r>
          </w:p>
        </w:tc>
      </w:tr>
      <w:tr w:rsidR="0092781E" w:rsidTr="0092781E" w14:paraId="61F976CD" w14:textId="77777777">
        <w:tc>
          <w:tcPr>
            <w:tcW w:w="2858" w:type="dxa"/>
          </w:tcPr>
          <w:p w:rsidRPr="00A24311" w:rsidR="00B21EE2" w:rsidP="00E63540" w:rsidRDefault="00B21EE2" w14:paraId="2C46900B" w14:textId="77777777">
            <w:pPr>
              <w:pStyle w:val="Definitions"/>
              <w:ind w:left="0"/>
              <w:jc w:val="left"/>
            </w:pPr>
            <w:r w:rsidRPr="00B50F0A">
              <w:t>“</w:t>
            </w:r>
            <w:r w:rsidRPr="00B50F0A">
              <w:rPr>
                <w:u w:val="single"/>
              </w:rPr>
              <w:t>LTAF</w:t>
            </w:r>
            <w:r w:rsidRPr="00B50F0A">
              <w:t>”</w:t>
            </w:r>
          </w:p>
        </w:tc>
        <w:tc>
          <w:tcPr>
            <w:tcW w:w="5957" w:type="dxa"/>
          </w:tcPr>
          <w:p w:rsidRPr="00A24311" w:rsidR="00B21EE2" w:rsidP="00E63540" w:rsidRDefault="00B21EE2" w14:paraId="2A10CF9D" w14:textId="77777777">
            <w:pPr>
              <w:pStyle w:val="Definitions"/>
              <w:ind w:left="0"/>
            </w:pPr>
            <w:r w:rsidRPr="00B50F0A">
              <w:t>a ‘long-term asset fund’, being an authorised fund whose authorised fund manager operates, or proposes to operate, it in accordance with the rules in Chapter 15 of the COLL Sourcebook;</w:t>
            </w:r>
          </w:p>
        </w:tc>
      </w:tr>
      <w:tr w:rsidR="0092781E" w:rsidTr="0092781E" w14:paraId="1D8A904E" w14:textId="77777777">
        <w:tc>
          <w:tcPr>
            <w:tcW w:w="2858" w:type="dxa"/>
          </w:tcPr>
          <w:p w:rsidRPr="00B50F0A" w:rsidR="00B21EE2" w:rsidP="00E63540" w:rsidRDefault="00B21EE2" w14:paraId="3A4F7C3A" w14:textId="77777777">
            <w:pPr>
              <w:pStyle w:val="Definitions"/>
              <w:ind w:left="0"/>
              <w:jc w:val="left"/>
            </w:pPr>
            <w:r w:rsidRPr="004314CC">
              <w:t>“</w:t>
            </w:r>
            <w:r w:rsidRPr="004314CC">
              <w:rPr>
                <w:u w:val="single"/>
              </w:rPr>
              <w:t>Manager</w:t>
            </w:r>
            <w:r w:rsidRPr="004314CC">
              <w:t>”</w:t>
            </w:r>
          </w:p>
        </w:tc>
        <w:tc>
          <w:tcPr>
            <w:tcW w:w="5957" w:type="dxa"/>
          </w:tcPr>
          <w:p w:rsidRPr="00B50F0A" w:rsidR="00B21EE2" w:rsidP="00E63540" w:rsidRDefault="00B21EE2" w14:paraId="165D8A2D" w14:textId="0DE2017B">
            <w:pPr>
              <w:pStyle w:val="Definitions"/>
              <w:ind w:left="0"/>
            </w:pPr>
            <w:r>
              <w:rPr>
                <w:bCs/>
              </w:rPr>
              <w:t>[</w:t>
            </w:r>
            <w:r w:rsidRPr="00892DBD">
              <w:rPr>
                <w:bCs/>
                <w:highlight w:val="yellow"/>
              </w:rPr>
              <w:t>●</w:t>
            </w:r>
            <w:r>
              <w:rPr>
                <w:bCs/>
              </w:rPr>
              <w:t>]</w:t>
            </w:r>
            <w:r w:rsidRPr="004314CC">
              <w:t xml:space="preserve">, the authorised contractual scheme manager of the </w:t>
            </w:r>
            <w:r>
              <w:t>Scheme</w:t>
            </w:r>
            <w:r w:rsidRPr="004314CC">
              <w:t xml:space="preserve"> and its successors in such role;</w:t>
            </w:r>
          </w:p>
        </w:tc>
      </w:tr>
      <w:tr w:rsidR="0092781E" w:rsidTr="0092781E" w14:paraId="76AAB78E" w14:textId="77777777">
        <w:tc>
          <w:tcPr>
            <w:tcW w:w="2858" w:type="dxa"/>
          </w:tcPr>
          <w:p w:rsidRPr="00856260" w:rsidR="00B21EE2" w:rsidP="00E63540" w:rsidRDefault="00B21EE2" w14:paraId="5EA0F499" w14:textId="77777777">
            <w:pPr>
              <w:pStyle w:val="Definitions"/>
              <w:ind w:left="0"/>
              <w:jc w:val="left"/>
            </w:pPr>
            <w:r w:rsidRPr="00A20810">
              <w:lastRenderedPageBreak/>
              <w:t>“</w:t>
            </w:r>
            <w:r w:rsidRPr="00A20810">
              <w:rPr>
                <w:u w:val="single"/>
              </w:rPr>
              <w:t>Net Asset Value</w:t>
            </w:r>
            <w:r w:rsidRPr="00A20810">
              <w:t>”</w:t>
            </w:r>
          </w:p>
        </w:tc>
        <w:tc>
          <w:tcPr>
            <w:tcW w:w="5957" w:type="dxa"/>
          </w:tcPr>
          <w:p w:rsidRPr="00856260" w:rsidR="00B21EE2" w:rsidP="00E63540" w:rsidRDefault="00B21EE2" w14:paraId="5FD482CC" w14:textId="0FBB1C02">
            <w:pPr>
              <w:pStyle w:val="Definitions"/>
              <w:ind w:left="0"/>
            </w:pPr>
            <w:r w:rsidRPr="00A20810">
              <w:t xml:space="preserve">the value of the </w:t>
            </w:r>
            <w:r w:rsidR="004A2385">
              <w:t>Scheme P</w:t>
            </w:r>
            <w:r w:rsidRPr="00A20810">
              <w:t>roperty of</w:t>
            </w:r>
            <w:r w:rsidR="004A2385">
              <w:t xml:space="preserve"> the </w:t>
            </w:r>
            <w:r w:rsidR="000E133F">
              <w:t>Scheme</w:t>
            </w:r>
            <w:r w:rsidRPr="00A20810">
              <w:t xml:space="preserve"> (or</w:t>
            </w:r>
            <w:r w:rsidR="0098332D">
              <w:t>, where the context requires, such part of the Scheme Property as is</w:t>
            </w:r>
            <w:r w:rsidRPr="00A20810">
              <w:t xml:space="preserve"> attributable to</w:t>
            </w:r>
            <w:r w:rsidR="0098332D">
              <w:t xml:space="preserve"> [a particular Sub-Fund or Class]</w:t>
            </w:r>
            <w:r w:rsidR="0098332D">
              <w:rPr>
                <w:vertAlign w:val="superscript"/>
              </w:rPr>
              <w:t>2</w:t>
            </w:r>
            <w:r w:rsidRPr="00A20810">
              <w:t>) less</w:t>
            </w:r>
            <w:r w:rsidR="0098332D">
              <w:t xml:space="preserve"> all</w:t>
            </w:r>
            <w:r w:rsidRPr="00A20810">
              <w:t xml:space="preserve"> the liabilities of</w:t>
            </w:r>
            <w:r w:rsidR="0098332D">
              <w:t xml:space="preserve"> the </w:t>
            </w:r>
            <w:r w:rsidR="000E133F">
              <w:t>Scheme</w:t>
            </w:r>
            <w:r w:rsidRPr="00A20810">
              <w:t xml:space="preserve"> </w:t>
            </w:r>
            <w:r w:rsidR="0098332D">
              <w:t>(or such liabilities as are attributable to that [Sub-Fund or]</w:t>
            </w:r>
            <w:r w:rsidR="0098332D">
              <w:rPr>
                <w:vertAlign w:val="superscript"/>
              </w:rPr>
              <w:t>2</w:t>
            </w:r>
            <w:r w:rsidR="0098332D">
              <w:t xml:space="preserve"> Class as the case may be)</w:t>
            </w:r>
            <w:r w:rsidRPr="00A20810">
              <w:t xml:space="preserve"> </w:t>
            </w:r>
            <w:r w:rsidR="0098332D">
              <w:t xml:space="preserve">in each case </w:t>
            </w:r>
            <w:r w:rsidRPr="00A20810">
              <w:t>determined in accordance with this Deed;</w:t>
            </w:r>
          </w:p>
        </w:tc>
      </w:tr>
      <w:tr w:rsidR="0092781E" w:rsidTr="0092781E" w14:paraId="5DF17D45" w14:textId="77777777">
        <w:tc>
          <w:tcPr>
            <w:tcW w:w="2858" w:type="dxa"/>
          </w:tcPr>
          <w:p w:rsidRPr="00766138" w:rsidR="00B21EE2" w:rsidP="00E63540" w:rsidRDefault="00B21EE2" w14:paraId="536FC72D" w14:textId="77777777">
            <w:pPr>
              <w:pStyle w:val="Definitions"/>
              <w:ind w:left="0"/>
              <w:jc w:val="left"/>
            </w:pPr>
            <w:r w:rsidRPr="00602EFF">
              <w:t>“</w:t>
            </w:r>
            <w:r w:rsidRPr="00602EFF">
              <w:rPr>
                <w:u w:val="single"/>
              </w:rPr>
              <w:t>Principal</w:t>
            </w:r>
            <w:r w:rsidRPr="00602EFF">
              <w:t>”</w:t>
            </w:r>
          </w:p>
        </w:tc>
        <w:tc>
          <w:tcPr>
            <w:tcW w:w="5957" w:type="dxa"/>
          </w:tcPr>
          <w:p w:rsidRPr="00766138" w:rsidR="00B21EE2" w:rsidP="00E63540" w:rsidRDefault="00B21EE2" w14:paraId="0238F3E6" w14:textId="0544CAE2">
            <w:pPr>
              <w:pStyle w:val="Definitions"/>
              <w:ind w:left="0"/>
            </w:pPr>
            <w:r w:rsidRPr="00602EFF">
              <w:t xml:space="preserve">a beneficial owner of a Unit as further defined in </w:t>
            </w:r>
            <w:r w:rsidR="00314A95">
              <w:t>C</w:t>
            </w:r>
            <w:r w:rsidRPr="00602EFF">
              <w:t xml:space="preserve">lause </w:t>
            </w:r>
            <w:r w:rsidR="0041310A">
              <w:fldChar w:fldCharType="begin"/>
            </w:r>
            <w:r w:rsidR="0041310A">
              <w:instrText xml:space="preserve"> REF _Ref117858814 \r \h </w:instrText>
            </w:r>
            <w:r w:rsidR="0041310A">
              <w:fldChar w:fldCharType="separate"/>
            </w:r>
            <w:r w:rsidR="00663122">
              <w:rPr>
                <w:cs/>
              </w:rPr>
              <w:t>‎</w:t>
            </w:r>
            <w:r w:rsidR="00663122">
              <w:t>12.3</w:t>
            </w:r>
            <w:r w:rsidR="0041310A">
              <w:fldChar w:fldCharType="end"/>
            </w:r>
            <w:r w:rsidR="002F4488">
              <w:t xml:space="preserve"> </w:t>
            </w:r>
            <w:r w:rsidRPr="00602EFF">
              <w:t>of this Deed;</w:t>
            </w:r>
          </w:p>
        </w:tc>
      </w:tr>
      <w:tr w:rsidR="0092781E" w:rsidTr="0092781E" w14:paraId="1BBC2C79" w14:textId="77777777">
        <w:tc>
          <w:tcPr>
            <w:tcW w:w="2858" w:type="dxa"/>
          </w:tcPr>
          <w:p w:rsidRPr="00602EFF" w:rsidR="00B21EE2" w:rsidP="00E63540" w:rsidRDefault="00B21EE2" w14:paraId="145F9B2F" w14:textId="77777777">
            <w:pPr>
              <w:pStyle w:val="Definitions"/>
              <w:ind w:left="0"/>
              <w:jc w:val="left"/>
            </w:pPr>
            <w:r w:rsidRPr="008D257C">
              <w:t>“</w:t>
            </w:r>
            <w:r w:rsidRPr="008D257C">
              <w:rPr>
                <w:u w:val="single"/>
              </w:rPr>
              <w:t>Professional ACS Investor</w:t>
            </w:r>
            <w:r w:rsidRPr="008D257C">
              <w:t>”</w:t>
            </w:r>
          </w:p>
        </w:tc>
        <w:tc>
          <w:tcPr>
            <w:tcW w:w="5957" w:type="dxa"/>
          </w:tcPr>
          <w:p w:rsidRPr="00602EFF" w:rsidR="00B21EE2" w:rsidP="00E63540" w:rsidRDefault="00B21EE2" w14:paraId="32D11FC2" w14:textId="77777777">
            <w:pPr>
              <w:pStyle w:val="Definitions"/>
              <w:ind w:left="0"/>
            </w:pPr>
            <w:r w:rsidRPr="008D257C">
              <w:t xml:space="preserve">a person who is a professional client for the purposes of the Markets in Financial Instruments Directive (Directive </w:t>
            </w:r>
            <w:r w:rsidRPr="003F0DAA">
              <w:t>2014/65/EU</w:t>
            </w:r>
            <w:r w:rsidRPr="008D257C">
              <w:t>);</w:t>
            </w:r>
          </w:p>
        </w:tc>
      </w:tr>
      <w:tr w:rsidR="0092781E" w:rsidTr="0092781E" w14:paraId="3440887A" w14:textId="77777777">
        <w:tc>
          <w:tcPr>
            <w:tcW w:w="2858" w:type="dxa"/>
          </w:tcPr>
          <w:p w:rsidRPr="008D257C" w:rsidR="00B21EE2" w:rsidP="00E63540" w:rsidRDefault="00B21EE2" w14:paraId="1D02CD04" w14:textId="77777777">
            <w:pPr>
              <w:pStyle w:val="Definitions"/>
              <w:ind w:left="0"/>
              <w:jc w:val="left"/>
            </w:pPr>
            <w:r w:rsidRPr="004E6CFC">
              <w:t>“</w:t>
            </w:r>
            <w:r w:rsidRPr="004E6CFC">
              <w:rPr>
                <w:u w:val="single"/>
              </w:rPr>
              <w:t>Prospectus</w:t>
            </w:r>
            <w:r w:rsidRPr="004E6CFC">
              <w:t>”</w:t>
            </w:r>
          </w:p>
        </w:tc>
        <w:tc>
          <w:tcPr>
            <w:tcW w:w="5957" w:type="dxa"/>
          </w:tcPr>
          <w:p w:rsidRPr="008D257C" w:rsidR="00B21EE2" w:rsidP="00E63540" w:rsidRDefault="00B21EE2" w14:paraId="0F7FC8A1" w14:textId="123DB557">
            <w:pPr>
              <w:pStyle w:val="Definitions"/>
              <w:ind w:left="0"/>
            </w:pPr>
            <w:r w:rsidRPr="004E6CFC">
              <w:t>the prospectus for the time being current in relation to the Scheme and published by the Manager</w:t>
            </w:r>
            <w:r w:rsidR="0092781E">
              <w:t xml:space="preserve"> pursuant to </w:t>
            </w:r>
            <w:r w:rsidR="006F7E70">
              <w:t>the FCA Rules</w:t>
            </w:r>
            <w:r w:rsidRPr="004E6CFC">
              <w:t>;</w:t>
            </w:r>
          </w:p>
        </w:tc>
      </w:tr>
      <w:tr w:rsidR="0092781E" w:rsidTr="0092781E" w14:paraId="23A5F14A" w14:textId="77777777">
        <w:tc>
          <w:tcPr>
            <w:tcW w:w="2858" w:type="dxa"/>
          </w:tcPr>
          <w:p w:rsidRPr="008D257C" w:rsidR="00B21EE2" w:rsidP="00E63540" w:rsidRDefault="00B21EE2" w14:paraId="2AC08ECE" w14:textId="77777777">
            <w:pPr>
              <w:pStyle w:val="Definitions"/>
              <w:ind w:left="0"/>
              <w:jc w:val="left"/>
            </w:pPr>
            <w:r w:rsidRPr="004E6CFC">
              <w:t>“</w:t>
            </w:r>
            <w:r w:rsidRPr="004E6CFC">
              <w:rPr>
                <w:u w:val="single"/>
              </w:rPr>
              <w:t>Regulations</w:t>
            </w:r>
            <w:r w:rsidRPr="004E6CFC">
              <w:t>”</w:t>
            </w:r>
          </w:p>
        </w:tc>
        <w:tc>
          <w:tcPr>
            <w:tcW w:w="5957" w:type="dxa"/>
          </w:tcPr>
          <w:p w:rsidRPr="008D257C" w:rsidR="00B21EE2" w:rsidP="00E63540" w:rsidRDefault="00B21EE2" w14:paraId="3833508D" w14:textId="54126C76">
            <w:pPr>
              <w:pStyle w:val="Definitions"/>
              <w:ind w:left="0"/>
            </w:pPr>
            <w:r w:rsidRPr="004E6CFC">
              <w:t xml:space="preserve">the Act, </w:t>
            </w:r>
            <w:r w:rsidR="0098332D">
              <w:t xml:space="preserve">the </w:t>
            </w:r>
            <w:r w:rsidRPr="004E6CFC">
              <w:t>AIFMD Regulations</w:t>
            </w:r>
            <w:r w:rsidR="0098332D">
              <w:t xml:space="preserve"> and</w:t>
            </w:r>
            <w:r w:rsidRPr="004E6CFC">
              <w:t xml:space="preserve"> the FCA Rules</w:t>
            </w:r>
            <w:r w:rsidR="004914BF">
              <w:t>,</w:t>
            </w:r>
            <w:r w:rsidRPr="004E6CFC">
              <w:t xml:space="preserve"> the Collective Investment in Transferable Securities (Contractual Scheme Regulations 2013 (S1 2013/1388) and any other applicable rules made under the Act from time to time in force;</w:t>
            </w:r>
          </w:p>
        </w:tc>
      </w:tr>
      <w:tr w:rsidR="0092781E" w:rsidTr="0092781E" w14:paraId="30B42D2A" w14:textId="77777777">
        <w:tc>
          <w:tcPr>
            <w:tcW w:w="2858" w:type="dxa"/>
          </w:tcPr>
          <w:p w:rsidRPr="00C86BC9" w:rsidR="00B21EE2" w:rsidP="00E63540" w:rsidRDefault="00B21EE2" w14:paraId="302662F9" w14:textId="77777777">
            <w:pPr>
              <w:pStyle w:val="Definitions"/>
              <w:ind w:left="0"/>
              <w:jc w:val="left"/>
            </w:pPr>
            <w:r>
              <w:t>“</w:t>
            </w:r>
            <w:r>
              <w:rPr>
                <w:u w:val="single"/>
              </w:rPr>
              <w:t>Schedule</w:t>
            </w:r>
            <w:r>
              <w:t>”</w:t>
            </w:r>
          </w:p>
        </w:tc>
        <w:tc>
          <w:tcPr>
            <w:tcW w:w="5957" w:type="dxa"/>
          </w:tcPr>
          <w:p w:rsidRPr="00C86BC9" w:rsidR="00B21EE2" w:rsidP="00E63540" w:rsidRDefault="00B21EE2" w14:paraId="4BAFC20C" w14:textId="58F298CD">
            <w:pPr>
              <w:pStyle w:val="Definitions"/>
              <w:ind w:left="0"/>
            </w:pPr>
            <w:r w:rsidRPr="009F4300">
              <w:t xml:space="preserve">means the schedule (in </w:t>
            </w:r>
            <w:r w:rsidR="003B73DB">
              <w:t>[</w:t>
            </w:r>
            <w:r w:rsidR="003F3F0B">
              <w:t>six</w:t>
            </w:r>
            <w:r w:rsidR="003B73DB">
              <w:t>]</w:t>
            </w:r>
            <w:r w:rsidRPr="009F4300" w:rsidR="003F3F0B">
              <w:t xml:space="preserve"> </w:t>
            </w:r>
            <w:r w:rsidRPr="009F4300">
              <w:t xml:space="preserve">parts) annexed to and forming part of this </w:t>
            </w:r>
            <w:r>
              <w:t>Deed</w:t>
            </w:r>
            <w:r w:rsidRPr="009F4300">
              <w:t>;</w:t>
            </w:r>
          </w:p>
        </w:tc>
      </w:tr>
      <w:tr w:rsidR="0092781E" w:rsidTr="0092781E" w14:paraId="2B74E7AD" w14:textId="77777777">
        <w:tc>
          <w:tcPr>
            <w:tcW w:w="2858" w:type="dxa"/>
          </w:tcPr>
          <w:p w:rsidRPr="00C86BC9" w:rsidR="00B21EE2" w:rsidP="00E63540" w:rsidRDefault="00B21EE2" w14:paraId="0B355FD4" w14:textId="77777777">
            <w:pPr>
              <w:pStyle w:val="Definitions"/>
              <w:ind w:left="0"/>
              <w:jc w:val="left"/>
            </w:pPr>
            <w:r>
              <w:t>“</w:t>
            </w:r>
            <w:r>
              <w:rPr>
                <w:u w:val="single"/>
              </w:rPr>
              <w:t>Scheme</w:t>
            </w:r>
            <w:r>
              <w:t>”</w:t>
            </w:r>
          </w:p>
        </w:tc>
        <w:tc>
          <w:tcPr>
            <w:tcW w:w="5957" w:type="dxa"/>
          </w:tcPr>
          <w:p w:rsidRPr="00C86BC9" w:rsidR="00B21EE2" w:rsidP="00E63540" w:rsidRDefault="00B21EE2" w14:paraId="19AA0B01" w14:textId="7B934624">
            <w:pPr>
              <w:pStyle w:val="Definitions"/>
              <w:ind w:left="0"/>
            </w:pPr>
            <w:r w:rsidRPr="00152202">
              <w:t>[</w:t>
            </w:r>
            <w:r>
              <w:t>●</w:t>
            </w:r>
            <w:r w:rsidRPr="00152202">
              <w:t xml:space="preserve">], being the authorised contractual co-ownership scheme constituted by this Deed </w:t>
            </w:r>
            <w:r w:rsidR="002B14E8">
              <w:t>[</w:t>
            </w:r>
            <w:r w:rsidRPr="00152202">
              <w:t>or collectively the Sub-Funds of the contractual co-ownership scheme constituted by this Deed</w:t>
            </w:r>
            <w:r w:rsidR="002B14E8">
              <w:t>]</w:t>
            </w:r>
            <w:r w:rsidRPr="002B14E8" w:rsidR="002B14E8">
              <w:rPr>
                <w:vertAlign w:val="superscript"/>
              </w:rPr>
              <w:t>2</w:t>
            </w:r>
            <w:r w:rsidRPr="00152202">
              <w:t>;</w:t>
            </w:r>
          </w:p>
        </w:tc>
      </w:tr>
      <w:tr w:rsidR="0092781E" w:rsidTr="0092781E" w14:paraId="531877F2" w14:textId="77777777">
        <w:tc>
          <w:tcPr>
            <w:tcW w:w="2858" w:type="dxa"/>
          </w:tcPr>
          <w:p w:rsidRPr="004E6CFC" w:rsidR="00B21EE2" w:rsidP="00E63540" w:rsidRDefault="00B21EE2" w14:paraId="3EE8A82C" w14:textId="77777777">
            <w:pPr>
              <w:pStyle w:val="Definitions"/>
              <w:ind w:left="0"/>
              <w:jc w:val="left"/>
            </w:pPr>
            <w:r w:rsidRPr="00C86BC9">
              <w:t>“</w:t>
            </w:r>
            <w:r w:rsidRPr="00C86BC9">
              <w:rPr>
                <w:u w:val="single"/>
              </w:rPr>
              <w:t>Scheme Property</w:t>
            </w:r>
            <w:r w:rsidRPr="00C86BC9">
              <w:t>”</w:t>
            </w:r>
          </w:p>
        </w:tc>
        <w:tc>
          <w:tcPr>
            <w:tcW w:w="5957" w:type="dxa"/>
          </w:tcPr>
          <w:p w:rsidRPr="004E6CFC" w:rsidR="00B21EE2" w:rsidP="00E63540" w:rsidRDefault="00B21EE2" w14:paraId="7E886F08" w14:textId="403B6E9B">
            <w:pPr>
              <w:pStyle w:val="Definitions"/>
              <w:ind w:left="0"/>
            </w:pPr>
            <w:r w:rsidRPr="00C86BC9">
              <w:t>the scheme property of</w:t>
            </w:r>
            <w:r w:rsidR="002B14E8">
              <w:t xml:space="preserve"> [the Scheme</w:t>
            </w:r>
            <w:r w:rsidR="00790238">
              <w:t xml:space="preserve"> </w:t>
            </w:r>
            <w:r w:rsidR="002B14E8">
              <w:t>/</w:t>
            </w:r>
            <w:r w:rsidR="00790238">
              <w:t xml:space="preserve"> </w:t>
            </w:r>
            <w:r w:rsidRPr="00C86BC9">
              <w:t>a Sub-Fund or all of the existing Sub-Funds, as appropriate,</w:t>
            </w:r>
            <w:r w:rsidR="002B14E8">
              <w:t>]</w:t>
            </w:r>
            <w:r w:rsidRPr="002B14E8" w:rsidR="002B14E8">
              <w:rPr>
                <w:vertAlign w:val="superscript"/>
              </w:rPr>
              <w:t>2</w:t>
            </w:r>
            <w:r w:rsidRPr="00C86BC9">
              <w:t xml:space="preserve"> to be entrusted to the Depositary for safe-keeping, as required by the FCA Rules, including income on that property;</w:t>
            </w:r>
          </w:p>
        </w:tc>
      </w:tr>
      <w:tr w:rsidR="0092781E" w:rsidTr="0092781E" w14:paraId="64B757C1" w14:textId="77777777">
        <w:tc>
          <w:tcPr>
            <w:tcW w:w="2858" w:type="dxa"/>
          </w:tcPr>
          <w:p w:rsidRPr="004E6CFC" w:rsidR="00B21EE2" w:rsidP="00E63540" w:rsidRDefault="00B21EE2" w14:paraId="6CBE6A6F" w14:textId="77777777">
            <w:pPr>
              <w:pStyle w:val="Definitions"/>
              <w:ind w:left="0"/>
              <w:jc w:val="left"/>
            </w:pPr>
            <w:r w:rsidRPr="00C86BC9">
              <w:t>“</w:t>
            </w:r>
            <w:r w:rsidRPr="00C86BC9">
              <w:rPr>
                <w:u w:val="single"/>
              </w:rPr>
              <w:t>SDRT</w:t>
            </w:r>
            <w:r w:rsidRPr="00C86BC9">
              <w:t>”</w:t>
            </w:r>
          </w:p>
        </w:tc>
        <w:tc>
          <w:tcPr>
            <w:tcW w:w="5957" w:type="dxa"/>
          </w:tcPr>
          <w:p w:rsidRPr="004E6CFC" w:rsidR="00B21EE2" w:rsidP="00E63540" w:rsidRDefault="00B21EE2" w14:paraId="60061743" w14:textId="77777777">
            <w:pPr>
              <w:pStyle w:val="Definitions"/>
              <w:ind w:left="0"/>
            </w:pPr>
            <w:r w:rsidRPr="00C86BC9">
              <w:rPr>
                <w:szCs w:val="24"/>
              </w:rPr>
              <w:t>United Kingdom stamp duty reserve tax;</w:t>
            </w:r>
          </w:p>
        </w:tc>
      </w:tr>
      <w:tr w:rsidR="0092781E" w:rsidTr="0092781E" w14:paraId="68DCD70B" w14:textId="77777777">
        <w:tc>
          <w:tcPr>
            <w:tcW w:w="2858" w:type="dxa"/>
          </w:tcPr>
          <w:p w:rsidRPr="00CF3801" w:rsidR="00493145" w:rsidP="00E63540" w:rsidRDefault="00493145" w14:paraId="5EC3FE9A" w14:textId="49DC862E">
            <w:pPr>
              <w:pStyle w:val="Definitions"/>
              <w:ind w:left="0"/>
              <w:jc w:val="left"/>
            </w:pPr>
            <w:r>
              <w:rPr>
                <w:spacing w:val="-2"/>
              </w:rPr>
              <w:t>[“</w:t>
            </w:r>
            <w:r>
              <w:rPr>
                <w:spacing w:val="-2"/>
                <w:u w:val="single"/>
              </w:rPr>
              <w:t>Side Pocket Assets</w:t>
            </w:r>
            <w:r>
              <w:rPr>
                <w:spacing w:val="-2"/>
              </w:rPr>
              <w:t>”</w:t>
            </w:r>
          </w:p>
        </w:tc>
        <w:tc>
          <w:tcPr>
            <w:tcW w:w="5957" w:type="dxa"/>
          </w:tcPr>
          <w:p w:rsidRPr="00CF3801" w:rsidR="00493145" w:rsidP="00E63540" w:rsidRDefault="00493145" w14:paraId="200B3429" w14:textId="2945744B">
            <w:pPr>
              <w:pStyle w:val="Definitions"/>
              <w:ind w:left="0"/>
            </w:pPr>
            <w:r>
              <w:rPr>
                <w:spacing w:val="-2"/>
              </w:rPr>
              <w:t>assets and liabilities of [a Sub-Fund</w:t>
            </w:r>
            <w:r w:rsidR="00790238">
              <w:rPr>
                <w:spacing w:val="-2"/>
              </w:rPr>
              <w:t xml:space="preserve"> </w:t>
            </w:r>
            <w:r>
              <w:rPr>
                <w:spacing w:val="-2"/>
              </w:rPr>
              <w:t>/</w:t>
            </w:r>
            <w:r w:rsidR="00790238">
              <w:rPr>
                <w:spacing w:val="-2"/>
              </w:rPr>
              <w:t xml:space="preserve"> </w:t>
            </w:r>
            <w:r>
              <w:rPr>
                <w:spacing w:val="-2"/>
              </w:rPr>
              <w:t>the Scheme]</w:t>
            </w:r>
            <w:r>
              <w:rPr>
                <w:vertAlign w:val="superscript"/>
              </w:rPr>
              <w:t>2</w:t>
            </w:r>
            <w:r>
              <w:rPr>
                <w:spacing w:val="-2"/>
              </w:rPr>
              <w:t xml:space="preserve"> that are ring-fenced from the other assets attributable to [that Sub-Fund</w:t>
            </w:r>
            <w:r w:rsidR="00790238">
              <w:rPr>
                <w:spacing w:val="-2"/>
              </w:rPr>
              <w:t xml:space="preserve"> </w:t>
            </w:r>
            <w:r>
              <w:rPr>
                <w:spacing w:val="-2"/>
              </w:rPr>
              <w:t>/</w:t>
            </w:r>
            <w:r w:rsidR="00790238">
              <w:rPr>
                <w:spacing w:val="-2"/>
              </w:rPr>
              <w:t xml:space="preserve"> </w:t>
            </w:r>
            <w:r>
              <w:rPr>
                <w:spacing w:val="-2"/>
              </w:rPr>
              <w:t>the Scheme]</w:t>
            </w:r>
            <w:r>
              <w:rPr>
                <w:vertAlign w:val="superscript"/>
              </w:rPr>
              <w:t>2</w:t>
            </w:r>
            <w:r>
              <w:rPr>
                <w:spacing w:val="-2"/>
              </w:rPr>
              <w:t xml:space="preserve"> in accordance with the Prospectus and the Regulations;</w:t>
            </w:r>
          </w:p>
        </w:tc>
      </w:tr>
      <w:tr w:rsidR="0092781E" w:rsidTr="0092781E" w14:paraId="022A4CE6" w14:textId="77777777">
        <w:tc>
          <w:tcPr>
            <w:tcW w:w="2858" w:type="dxa"/>
          </w:tcPr>
          <w:p w:rsidRPr="00CF3801" w:rsidR="00493145" w:rsidP="00E63540" w:rsidRDefault="00493145" w14:paraId="3FB95206" w14:textId="515BE72B">
            <w:pPr>
              <w:pStyle w:val="Definitions"/>
              <w:ind w:left="0"/>
              <w:jc w:val="left"/>
            </w:pPr>
            <w:r>
              <w:rPr>
                <w:spacing w:val="-2"/>
              </w:rPr>
              <w:t>“</w:t>
            </w:r>
            <w:r>
              <w:rPr>
                <w:spacing w:val="-2"/>
                <w:u w:val="single"/>
              </w:rPr>
              <w:t>Special Investment Class</w:t>
            </w:r>
            <w:r>
              <w:rPr>
                <w:spacing w:val="-2"/>
              </w:rPr>
              <w:t>”</w:t>
            </w:r>
          </w:p>
        </w:tc>
        <w:tc>
          <w:tcPr>
            <w:tcW w:w="5957" w:type="dxa"/>
          </w:tcPr>
          <w:p w:rsidRPr="00CF3801" w:rsidR="00493145" w:rsidP="00E63540" w:rsidRDefault="00493145" w14:paraId="438C8DD7" w14:textId="39103AA7">
            <w:pPr>
              <w:pStyle w:val="Definitions"/>
              <w:ind w:left="0"/>
            </w:pPr>
            <w:r>
              <w:rPr>
                <w:spacing w:val="-2"/>
              </w:rPr>
              <w:t xml:space="preserve">has the meaning set out in Clause </w:t>
            </w:r>
            <w:r w:rsidR="00DA5FCD">
              <w:rPr>
                <w:spacing w:val="-2"/>
              </w:rPr>
              <w:fldChar w:fldCharType="begin"/>
            </w:r>
            <w:r w:rsidR="00DA5FCD">
              <w:rPr>
                <w:spacing w:val="-2"/>
              </w:rPr>
              <w:instrText xml:space="preserve"> REF _Ref118278299 \r \h </w:instrText>
            </w:r>
            <w:r w:rsidR="00DA5FCD">
              <w:rPr>
                <w:spacing w:val="-2"/>
              </w:rPr>
            </w:r>
            <w:r w:rsidR="00DA5FCD">
              <w:rPr>
                <w:spacing w:val="-2"/>
              </w:rPr>
              <w:fldChar w:fldCharType="separate"/>
            </w:r>
            <w:r w:rsidR="00663122">
              <w:rPr>
                <w:spacing w:val="-2"/>
                <w:cs/>
              </w:rPr>
              <w:t>‎</w:t>
            </w:r>
            <w:r w:rsidR="00663122">
              <w:rPr>
                <w:spacing w:val="-2"/>
              </w:rPr>
              <w:t>16.1</w:t>
            </w:r>
            <w:r w:rsidR="00DA5FCD">
              <w:rPr>
                <w:spacing w:val="-2"/>
              </w:rPr>
              <w:fldChar w:fldCharType="end"/>
            </w:r>
            <w:r>
              <w:rPr>
                <w:spacing w:val="-2"/>
              </w:rPr>
              <w:t>;</w:t>
            </w:r>
          </w:p>
        </w:tc>
      </w:tr>
      <w:tr w:rsidR="0092781E" w:rsidTr="0092781E" w14:paraId="7A5DE884" w14:textId="77777777">
        <w:tc>
          <w:tcPr>
            <w:tcW w:w="2858" w:type="dxa"/>
          </w:tcPr>
          <w:p w:rsidRPr="00CF3801" w:rsidR="00493145" w:rsidP="00E63540" w:rsidRDefault="00493145" w14:paraId="76476C99" w14:textId="41EABD59">
            <w:pPr>
              <w:pStyle w:val="Definitions"/>
              <w:ind w:left="0"/>
              <w:jc w:val="left"/>
            </w:pPr>
            <w:r>
              <w:rPr>
                <w:spacing w:val="-2"/>
              </w:rPr>
              <w:t>“</w:t>
            </w:r>
            <w:r>
              <w:rPr>
                <w:spacing w:val="-2"/>
                <w:u w:val="single"/>
              </w:rPr>
              <w:t xml:space="preserve">Special Investment </w:t>
            </w:r>
            <w:r w:rsidR="00695E22">
              <w:rPr>
                <w:spacing w:val="-2"/>
                <w:u w:val="single"/>
              </w:rPr>
              <w:t>Unit</w:t>
            </w:r>
            <w:r>
              <w:rPr>
                <w:spacing w:val="-2"/>
                <w:u w:val="single"/>
              </w:rPr>
              <w:t>s</w:t>
            </w:r>
            <w:r>
              <w:rPr>
                <w:spacing w:val="-2"/>
              </w:rPr>
              <w:t>”</w:t>
            </w:r>
          </w:p>
        </w:tc>
        <w:tc>
          <w:tcPr>
            <w:tcW w:w="5957" w:type="dxa"/>
          </w:tcPr>
          <w:p w:rsidRPr="00493145" w:rsidR="00493145" w:rsidP="00493145" w:rsidRDefault="00493145" w14:paraId="2D1E3181" w14:textId="25397C55">
            <w:pPr>
              <w:jc w:val="left"/>
              <w:rPr>
                <w:rFonts w:ascii="Times New Roman" w:hAnsi="Times New Roman" w:eastAsia="Arial" w:cs="Times New Roman"/>
                <w:sz w:val="24"/>
                <w:szCs w:val="24"/>
                <w:lang w:eastAsia="zh-CN"/>
              </w:rPr>
            </w:pPr>
            <w:r>
              <w:rPr>
                <w:spacing w:val="-2"/>
              </w:rPr>
              <w:t xml:space="preserve">has the meaning set out in Clause </w:t>
            </w:r>
            <w:r w:rsidR="00DA5FCD">
              <w:rPr>
                <w:spacing w:val="-2"/>
              </w:rPr>
              <w:fldChar w:fldCharType="begin"/>
            </w:r>
            <w:r w:rsidR="00DA5FCD">
              <w:rPr>
                <w:spacing w:val="-2"/>
              </w:rPr>
              <w:instrText xml:space="preserve"> REF _Ref102940085 \r \h </w:instrText>
            </w:r>
            <w:r w:rsidR="00DA5FCD">
              <w:rPr>
                <w:spacing w:val="-2"/>
              </w:rPr>
            </w:r>
            <w:r w:rsidR="00DA5FCD">
              <w:rPr>
                <w:spacing w:val="-2"/>
              </w:rPr>
              <w:fldChar w:fldCharType="separate"/>
            </w:r>
            <w:r w:rsidR="00663122">
              <w:rPr>
                <w:spacing w:val="-2"/>
                <w:cs/>
              </w:rPr>
              <w:t>‎</w:t>
            </w:r>
            <w:r w:rsidR="00663122">
              <w:rPr>
                <w:spacing w:val="-2"/>
              </w:rPr>
              <w:t>16.2</w:t>
            </w:r>
            <w:r w:rsidR="00DA5FCD">
              <w:rPr>
                <w:spacing w:val="-2"/>
              </w:rPr>
              <w:fldChar w:fldCharType="end"/>
            </w:r>
            <w:r>
              <w:rPr>
                <w:spacing w:val="-2"/>
              </w:rPr>
              <w:t>;]</w:t>
            </w:r>
            <w:r>
              <w:rPr>
                <w:rStyle w:val="EndnoteReference"/>
                <w:spacing w:val="-2"/>
              </w:rPr>
              <w:endnoteReference w:id="5"/>
            </w:r>
            <w:r>
              <w:rPr>
                <w:spacing w:val="-2"/>
              </w:rPr>
              <w:t xml:space="preserve"> </w:t>
            </w:r>
          </w:p>
        </w:tc>
      </w:tr>
      <w:tr w:rsidR="0092781E" w:rsidTr="0092781E" w14:paraId="6BCE2A01" w14:textId="77777777">
        <w:tc>
          <w:tcPr>
            <w:tcW w:w="2858" w:type="dxa"/>
          </w:tcPr>
          <w:p w:rsidRPr="00C86BC9" w:rsidR="00B21EE2" w:rsidP="00E63540" w:rsidRDefault="002B14E8" w14:paraId="68AE6EF6" w14:textId="20C5BF7F">
            <w:pPr>
              <w:pStyle w:val="Definitions"/>
              <w:ind w:left="0"/>
              <w:jc w:val="left"/>
            </w:pPr>
            <w:r>
              <w:t>[</w:t>
            </w:r>
            <w:r w:rsidRPr="00CF3801" w:rsidR="00B21EE2">
              <w:t>“</w:t>
            </w:r>
            <w:r w:rsidRPr="00CF3801" w:rsidR="00B21EE2">
              <w:rPr>
                <w:u w:val="single"/>
              </w:rPr>
              <w:t>Sub-Fund</w:t>
            </w:r>
            <w:r w:rsidRPr="00CF3801" w:rsidR="00B21EE2">
              <w:t>”</w:t>
            </w:r>
          </w:p>
        </w:tc>
        <w:tc>
          <w:tcPr>
            <w:tcW w:w="5957" w:type="dxa"/>
          </w:tcPr>
          <w:p w:rsidRPr="00C86BC9" w:rsidR="00B21EE2" w:rsidP="00E63540" w:rsidRDefault="00B21EE2" w14:paraId="06E3CA22" w14:textId="1C3517D2">
            <w:pPr>
              <w:pStyle w:val="Definitions"/>
              <w:ind w:left="0"/>
            </w:pPr>
            <w:r w:rsidRPr="00CF3801">
              <w:t xml:space="preserve">a Sub-Fund of the </w:t>
            </w:r>
            <w:r>
              <w:t>Scheme</w:t>
            </w:r>
            <w:r w:rsidRPr="00CF3801">
              <w:t xml:space="preserve">.  Each Sub-Fund forms part of the property of the </w:t>
            </w:r>
            <w:r>
              <w:t>Scheme</w:t>
            </w:r>
            <w:r w:rsidRPr="00CF3801">
              <w:t xml:space="preserve"> but is pooled separately and is invested in accordance with the investment objective and approach, and subject to the investment restrictions, applicable to that Sub-Fund;</w:t>
            </w:r>
            <w:r w:rsidR="002B14E8">
              <w:t>]</w:t>
            </w:r>
            <w:r w:rsidRPr="002B14E8" w:rsidR="002B14E8">
              <w:rPr>
                <w:vertAlign w:val="superscript"/>
              </w:rPr>
              <w:t>2</w:t>
            </w:r>
          </w:p>
        </w:tc>
      </w:tr>
      <w:tr w:rsidR="0092781E" w:rsidTr="0092781E" w14:paraId="78D45170" w14:textId="77777777">
        <w:tc>
          <w:tcPr>
            <w:tcW w:w="2858" w:type="dxa"/>
          </w:tcPr>
          <w:p w:rsidRPr="00C86BC9" w:rsidR="00B21EE2" w:rsidP="00E63540" w:rsidRDefault="00B21EE2" w14:paraId="38D386D9" w14:textId="77777777">
            <w:pPr>
              <w:pStyle w:val="Definitions"/>
              <w:ind w:left="0"/>
              <w:jc w:val="left"/>
            </w:pPr>
            <w:r w:rsidRPr="00CF3801">
              <w:lastRenderedPageBreak/>
              <w:t>“</w:t>
            </w:r>
            <w:r w:rsidRPr="00CF3801">
              <w:rPr>
                <w:u w:val="single"/>
              </w:rPr>
              <w:t>Taxation</w:t>
            </w:r>
            <w:r w:rsidRPr="00CF3801">
              <w:t>”</w:t>
            </w:r>
          </w:p>
        </w:tc>
        <w:tc>
          <w:tcPr>
            <w:tcW w:w="5957" w:type="dxa"/>
          </w:tcPr>
          <w:p w:rsidRPr="00C86BC9" w:rsidR="00B21EE2" w:rsidP="00E63540" w:rsidRDefault="00B21EE2" w14:paraId="25E90E3F" w14:textId="77777777">
            <w:pPr>
              <w:pStyle w:val="Definitions"/>
              <w:ind w:left="0"/>
            </w:pPr>
            <w:r w:rsidRPr="00CF3801">
              <w:t>all forms of taxation whenever created or imposed and whether in the UK or elsewhere and shall include any taxes, duties, levies and any other amount in the nature of taxation in any relevant jurisdiction, including all fines, interest, penalties and expenses incidental and relating to any such tax, duty, levy or charge and their negotiation, settlement or dispute and any actual or threatened claim in respect of them, and reference to “tax” and “taxes” should be construed accordingly;</w:t>
            </w:r>
          </w:p>
        </w:tc>
      </w:tr>
      <w:tr w:rsidR="0092781E" w:rsidTr="0092781E" w14:paraId="5BB09952" w14:textId="77777777">
        <w:tc>
          <w:tcPr>
            <w:tcW w:w="2858" w:type="dxa"/>
          </w:tcPr>
          <w:p w:rsidRPr="00CF3801" w:rsidR="00B21EE2" w:rsidP="00E63540" w:rsidRDefault="00B21EE2" w14:paraId="2963469C" w14:textId="77777777">
            <w:pPr>
              <w:pStyle w:val="Definitions"/>
              <w:ind w:left="0"/>
              <w:jc w:val="left"/>
            </w:pPr>
            <w:r w:rsidRPr="00F74499">
              <w:t>“</w:t>
            </w:r>
            <w:r w:rsidRPr="00F74499">
              <w:rPr>
                <w:u w:val="single"/>
              </w:rPr>
              <w:t>Unit</w:t>
            </w:r>
            <w:r w:rsidRPr="00F74499">
              <w:t>” or “</w:t>
            </w:r>
            <w:r w:rsidRPr="00F74499">
              <w:rPr>
                <w:u w:val="single"/>
              </w:rPr>
              <w:t>Units</w:t>
            </w:r>
            <w:r w:rsidRPr="00F74499">
              <w:t>”</w:t>
            </w:r>
          </w:p>
        </w:tc>
        <w:tc>
          <w:tcPr>
            <w:tcW w:w="5957" w:type="dxa"/>
          </w:tcPr>
          <w:p w:rsidRPr="00CF3801" w:rsidR="00B21EE2" w:rsidP="00E63540" w:rsidRDefault="00B21EE2" w14:paraId="6098A9A2" w14:textId="1910EAE7">
            <w:pPr>
              <w:pStyle w:val="Definitions"/>
              <w:ind w:left="0"/>
            </w:pPr>
            <w:r w:rsidRPr="00F74499">
              <w:t xml:space="preserve">a unit or units representing the rights and interests of the Unitholders </w:t>
            </w:r>
            <w:r w:rsidR="002B14E8">
              <w:t>[</w:t>
            </w:r>
            <w:r w:rsidRPr="00F74499">
              <w:t>in a Sub-Fund</w:t>
            </w:r>
            <w:r w:rsidR="002B14E8">
              <w:t>]</w:t>
            </w:r>
            <w:r w:rsidRPr="002B14E8" w:rsidR="002B14E8">
              <w:rPr>
                <w:vertAlign w:val="superscript"/>
              </w:rPr>
              <w:t>2</w:t>
            </w:r>
            <w:r w:rsidRPr="00F74499">
              <w:t>;</w:t>
            </w:r>
          </w:p>
        </w:tc>
      </w:tr>
      <w:tr w:rsidR="0092781E" w:rsidTr="0092781E" w14:paraId="660F352E" w14:textId="77777777">
        <w:tc>
          <w:tcPr>
            <w:tcW w:w="2858" w:type="dxa"/>
          </w:tcPr>
          <w:p w:rsidRPr="00F74499" w:rsidR="00B21EE2" w:rsidP="00E63540" w:rsidRDefault="00B21EE2" w14:paraId="20F6C717" w14:textId="77777777">
            <w:pPr>
              <w:pStyle w:val="Definitions"/>
              <w:ind w:left="0"/>
              <w:jc w:val="left"/>
            </w:pPr>
            <w:r w:rsidRPr="00AD1379">
              <w:t>“</w:t>
            </w:r>
            <w:r w:rsidRPr="00AD1379">
              <w:rPr>
                <w:u w:val="single"/>
              </w:rPr>
              <w:t>Unitholders</w:t>
            </w:r>
            <w:r w:rsidRPr="00AD1379">
              <w:t>”</w:t>
            </w:r>
          </w:p>
        </w:tc>
        <w:tc>
          <w:tcPr>
            <w:tcW w:w="5957" w:type="dxa"/>
          </w:tcPr>
          <w:p w:rsidRPr="00F74499" w:rsidR="00B21EE2" w:rsidP="00E63540" w:rsidRDefault="00B21EE2" w14:paraId="36409133" w14:textId="2B9BD3C8">
            <w:pPr>
              <w:pStyle w:val="Definitions"/>
              <w:ind w:left="0"/>
            </w:pPr>
            <w:r w:rsidRPr="00AD1379">
              <w:t xml:space="preserve">in relation to a Class </w:t>
            </w:r>
            <w:r w:rsidR="002B14E8">
              <w:t>[</w:t>
            </w:r>
            <w:r w:rsidRPr="00AD1379">
              <w:t>or Sub-Fund</w:t>
            </w:r>
            <w:r w:rsidR="002B14E8">
              <w:t>]</w:t>
            </w:r>
            <w:r w:rsidRPr="002B14E8" w:rsidR="002B14E8">
              <w:rPr>
                <w:vertAlign w:val="superscript"/>
              </w:rPr>
              <w:t>2</w:t>
            </w:r>
            <w:r w:rsidRPr="00AD1379">
              <w:t xml:space="preserve">, means every person who is a holder of Units in that Class </w:t>
            </w:r>
            <w:r w:rsidR="002B14E8">
              <w:t>[</w:t>
            </w:r>
            <w:r w:rsidRPr="00AD1379">
              <w:t>or Sub-Fund</w:t>
            </w:r>
            <w:r w:rsidR="002B14E8">
              <w:t>]</w:t>
            </w:r>
            <w:r w:rsidRPr="002B14E8" w:rsidR="002B14E8">
              <w:rPr>
                <w:vertAlign w:val="superscript"/>
              </w:rPr>
              <w:t>2</w:t>
            </w:r>
            <w:r w:rsidRPr="00AD1379">
              <w:t xml:space="preserve"> at that time and in relation to the </w:t>
            </w:r>
            <w:r>
              <w:t>Scheme</w:t>
            </w:r>
            <w:r w:rsidRPr="00AD1379">
              <w:t xml:space="preserve"> means all holders of Units at that time;</w:t>
            </w:r>
          </w:p>
        </w:tc>
      </w:tr>
      <w:tr w:rsidR="0092781E" w:rsidTr="0092781E" w14:paraId="04E18F01" w14:textId="77777777">
        <w:tc>
          <w:tcPr>
            <w:tcW w:w="2858" w:type="dxa"/>
          </w:tcPr>
          <w:p w:rsidRPr="00AD1379" w:rsidR="00B21EE2" w:rsidP="00E63540" w:rsidRDefault="00B21EE2" w14:paraId="707815E0" w14:textId="77777777">
            <w:pPr>
              <w:pStyle w:val="Definitions"/>
              <w:ind w:left="0"/>
              <w:jc w:val="left"/>
            </w:pPr>
            <w:r w:rsidRPr="00B1753D">
              <w:t>“</w:t>
            </w:r>
            <w:r w:rsidRPr="00B1753D">
              <w:rPr>
                <w:u w:val="single"/>
              </w:rPr>
              <w:t>UK</w:t>
            </w:r>
            <w:r w:rsidRPr="00B1753D">
              <w:t>”</w:t>
            </w:r>
          </w:p>
        </w:tc>
        <w:tc>
          <w:tcPr>
            <w:tcW w:w="5957" w:type="dxa"/>
          </w:tcPr>
          <w:p w:rsidRPr="00AD1379" w:rsidR="00B21EE2" w:rsidP="00E63540" w:rsidRDefault="00B21EE2" w14:paraId="49EC2F5B" w14:textId="77777777">
            <w:pPr>
              <w:pStyle w:val="Definitions"/>
              <w:ind w:left="0"/>
            </w:pPr>
            <w:r w:rsidRPr="00B1753D">
              <w:t xml:space="preserve">the United Kingdom of Great Britain and Northern Ireland; </w:t>
            </w:r>
          </w:p>
        </w:tc>
      </w:tr>
      <w:tr w:rsidR="0092781E" w:rsidTr="0092781E" w14:paraId="61FEF8A8" w14:textId="77777777">
        <w:tc>
          <w:tcPr>
            <w:tcW w:w="2858" w:type="dxa"/>
          </w:tcPr>
          <w:p w:rsidRPr="00AD1379" w:rsidR="00B21EE2" w:rsidP="00E63540" w:rsidRDefault="00B21EE2" w14:paraId="5C37BDC7" w14:textId="77777777">
            <w:pPr>
              <w:pStyle w:val="Definitions"/>
              <w:ind w:left="0"/>
              <w:jc w:val="left"/>
            </w:pPr>
            <w:r>
              <w:t>“</w:t>
            </w:r>
            <w:r w:rsidRPr="00144A6A">
              <w:rPr>
                <w:u w:val="single"/>
              </w:rPr>
              <w:t>UK AIFMD Regulations</w:t>
            </w:r>
            <w:r>
              <w:t>”</w:t>
            </w:r>
          </w:p>
        </w:tc>
        <w:tc>
          <w:tcPr>
            <w:tcW w:w="5957" w:type="dxa"/>
          </w:tcPr>
          <w:p w:rsidRPr="00AD1379" w:rsidR="00B21EE2" w:rsidP="00E63540" w:rsidRDefault="00B21EE2" w14:paraId="61785FC5" w14:textId="2492CE30">
            <w:pPr>
              <w:pStyle w:val="Definitions"/>
              <w:ind w:left="0"/>
            </w:pPr>
            <w:r>
              <w:t>the Alternative Investment Fund Managers Regulations 2013;</w:t>
            </w:r>
            <w:r w:rsidR="007D0B83">
              <w:t xml:space="preserve"> and</w:t>
            </w:r>
          </w:p>
        </w:tc>
      </w:tr>
      <w:tr w:rsidR="0092781E" w:rsidTr="0092781E" w14:paraId="20C69247" w14:textId="77777777">
        <w:tc>
          <w:tcPr>
            <w:tcW w:w="2858" w:type="dxa"/>
          </w:tcPr>
          <w:p w:rsidRPr="00AD1379" w:rsidR="00B21EE2" w:rsidP="00E63540" w:rsidRDefault="00B21EE2" w14:paraId="201CDA33" w14:textId="77777777">
            <w:pPr>
              <w:pStyle w:val="Definitions"/>
              <w:ind w:left="0"/>
              <w:jc w:val="left"/>
            </w:pPr>
            <w:r w:rsidRPr="00616EE6">
              <w:t>“</w:t>
            </w:r>
            <w:r w:rsidRPr="00616EE6">
              <w:rPr>
                <w:u w:val="single"/>
              </w:rPr>
              <w:t>Valuation Point</w:t>
            </w:r>
            <w:r w:rsidRPr="00616EE6">
              <w:t>”</w:t>
            </w:r>
          </w:p>
        </w:tc>
        <w:tc>
          <w:tcPr>
            <w:tcW w:w="5957" w:type="dxa"/>
          </w:tcPr>
          <w:p w:rsidRPr="00AD1379" w:rsidR="00B21EE2" w:rsidP="00E63540" w:rsidRDefault="00B21EE2" w14:paraId="0DEB8E81" w14:textId="656DF55F">
            <w:pPr>
              <w:pStyle w:val="Definitions"/>
              <w:ind w:left="0"/>
            </w:pPr>
            <w:r w:rsidRPr="00616EE6">
              <w:t xml:space="preserve">the point at which, whether on a periodic basis or for a particular valuation, the Manager carries out a valuation of the property of the </w:t>
            </w:r>
            <w:r>
              <w:t>Scheme</w:t>
            </w:r>
            <w:r w:rsidRPr="00616EE6">
              <w:t xml:space="preserve"> </w:t>
            </w:r>
            <w:r w:rsidR="002B14E8">
              <w:t>[</w:t>
            </w:r>
            <w:r w:rsidRPr="00616EE6">
              <w:t>or a Sub-Fund (as the case may be)</w:t>
            </w:r>
            <w:r w:rsidR="002B14E8">
              <w:t>]</w:t>
            </w:r>
            <w:r w:rsidRPr="002B14E8" w:rsidR="002B14E8">
              <w:rPr>
                <w:vertAlign w:val="superscript"/>
              </w:rPr>
              <w:t>2</w:t>
            </w:r>
            <w:r w:rsidRPr="00616EE6">
              <w:t xml:space="preserve"> for the purpose of determining the price at which Units may be issued, cancelled, exchanged or redeemed, as specified </w:t>
            </w:r>
            <w:r w:rsidR="00AA61D8">
              <w:t>[</w:t>
            </w:r>
            <w:r w:rsidRPr="00616EE6">
              <w:t>in respect of each Sub-Fund</w:t>
            </w:r>
            <w:r w:rsidR="00AA61D8">
              <w:t>]</w:t>
            </w:r>
            <w:r w:rsidRPr="002B14E8" w:rsidR="00AA61D8">
              <w:rPr>
                <w:vertAlign w:val="superscript"/>
              </w:rPr>
              <w:t>2</w:t>
            </w:r>
            <w:r w:rsidRPr="00616EE6">
              <w:t xml:space="preserve"> in the Prospectus</w:t>
            </w:r>
            <w:r w:rsidR="007D0B83">
              <w:t>.</w:t>
            </w:r>
          </w:p>
        </w:tc>
      </w:tr>
    </w:tbl>
    <w:p w:rsidR="0092781E" w:rsidP="00F238C5" w:rsidRDefault="0092781E" w14:paraId="5D86C173" w14:textId="401F4059">
      <w:pPr>
        <w:pStyle w:val="ssNoHeading2"/>
      </w:pPr>
      <w:bookmarkStart w:name="_DV_M51" w:id="14"/>
      <w:bookmarkStart w:name="_DV_M52" w:id="15"/>
      <w:bookmarkStart w:name="_DV_M53" w:id="16"/>
      <w:bookmarkStart w:name="_DV_M54" w:id="17"/>
      <w:bookmarkStart w:name="_DV_M55" w:id="18"/>
      <w:bookmarkStart w:name="_DV_M56" w:id="19"/>
      <w:bookmarkStart w:name="_DV_M58" w:id="20"/>
      <w:bookmarkStart w:name="_DV_M59" w:id="21"/>
      <w:bookmarkStart w:name="_DV_M64" w:id="22"/>
      <w:bookmarkEnd w:id="14"/>
      <w:bookmarkEnd w:id="15"/>
      <w:bookmarkEnd w:id="16"/>
      <w:bookmarkEnd w:id="17"/>
      <w:bookmarkEnd w:id="18"/>
      <w:bookmarkEnd w:id="19"/>
      <w:bookmarkEnd w:id="20"/>
      <w:bookmarkEnd w:id="21"/>
      <w:bookmarkEnd w:id="22"/>
      <w:r>
        <w:t>Any reference in this Deed to any statu</w:t>
      </w:r>
      <w:r w:rsidR="00B12219">
        <w:t>t</w:t>
      </w:r>
      <w:r>
        <w:t>e, statutory provision or regulation shall be construed as including a reference to any modification, amendment, extension, replacement or re-enactment thereof for the time being in force.</w:t>
      </w:r>
    </w:p>
    <w:p w:rsidR="003518DC" w:rsidP="003518DC" w:rsidRDefault="003518DC" w14:paraId="140E6350" w14:textId="547E3AF2">
      <w:pPr>
        <w:pStyle w:val="ssNoHeading2"/>
      </w:pPr>
      <w:bookmarkStart w:name="_DV_M66" w:id="23"/>
      <w:bookmarkEnd w:id="23"/>
      <w:r>
        <w:t>In this Deed, words denoting the singular shall include the plural and vice versa. Words denoting one gender only shall include all genders. Words denoting persons shall include companies or associations or unincorporated bodies of persons.</w:t>
      </w:r>
    </w:p>
    <w:p w:rsidRPr="003518DC" w:rsidR="00F238C5" w:rsidP="00815B71" w:rsidRDefault="003518DC" w14:paraId="38BA2369" w14:textId="5F5DEBF6">
      <w:pPr>
        <w:pStyle w:val="ssNoHeading2"/>
        <w:rPr>
          <w:bCs w:val="0"/>
        </w:rPr>
      </w:pPr>
      <w:bookmarkStart w:name="_Hlk117863839" w:id="24"/>
      <w:r>
        <w:t xml:space="preserve">Any reference in this Deed to “written” or “in writing” shall include printed, lithographic, photographic, telex, facsimile, electronic mail and any other form of communication (or partly in one such form and partly in another) except where the context specifically requires otherwise. The word “signed” shall be construed so as to include signed by way of a signature or representation of a signature affixed by photographic, electronic or mechanical means or any other electronic evidence it was sent except where the context specifically otherwise requires. </w:t>
      </w:r>
      <w:bookmarkEnd w:id="24"/>
    </w:p>
    <w:p w:rsidR="003518DC" w:rsidP="00F238C5" w:rsidRDefault="003518DC" w14:paraId="1661548B" w14:textId="6EF74F49">
      <w:pPr>
        <w:pStyle w:val="ssNoHeading2"/>
      </w:pPr>
      <w:r>
        <w:t>The word “company” shall (unless the contrary intention is expressed) mean a body corporate including a company within the meaning of the FCA Rules.</w:t>
      </w:r>
    </w:p>
    <w:p w:rsidRPr="009F4300" w:rsidR="00F238C5" w:rsidP="00F238C5" w:rsidRDefault="00AA61D8" w14:paraId="57ED324F" w14:textId="2DEFB82C">
      <w:pPr>
        <w:pStyle w:val="ssNoHeading2"/>
      </w:pPr>
      <w:r>
        <w:t>[</w:t>
      </w:r>
      <w:r w:rsidRPr="009F4300" w:rsidR="00F238C5">
        <w:t xml:space="preserve">Any reference in this </w:t>
      </w:r>
      <w:r w:rsidR="00B21EE2">
        <w:t>Deed</w:t>
      </w:r>
      <w:r w:rsidRPr="009F4300" w:rsidR="00F238C5">
        <w:t xml:space="preserve"> to Units being issued “in respect of” or “relating</w:t>
      </w:r>
      <w:r w:rsidR="007E68C8">
        <w:t xml:space="preserve"> to</w:t>
      </w:r>
      <w:r w:rsidRPr="009F4300" w:rsidR="00F238C5">
        <w:t xml:space="preserve">” a </w:t>
      </w:r>
      <w:r w:rsidR="00D30F5C">
        <w:t>Sub-Fund</w:t>
      </w:r>
      <w:r w:rsidRPr="009F4300" w:rsidR="00F238C5">
        <w:t xml:space="preserve"> shall be construed as a reference to Units which give the holder of them co-ownership of that part of the Scheme Property comprising the </w:t>
      </w:r>
      <w:r w:rsidR="00D30F5C">
        <w:t>Sub-Fund</w:t>
      </w:r>
      <w:r w:rsidRPr="009F4300" w:rsidR="00F238C5">
        <w:t xml:space="preserve"> in question and the entitlement (as provided for in the Regulations and this </w:t>
      </w:r>
      <w:r w:rsidR="00B21EE2">
        <w:t>Deed</w:t>
      </w:r>
      <w:r w:rsidRPr="009F4300" w:rsidR="00F238C5">
        <w:t xml:space="preserve">) to exchange co-ownership of that part of the Scheme Property for that part of the Scheme Property comprising any other </w:t>
      </w:r>
      <w:r w:rsidR="00D30F5C">
        <w:t>Sub-Fund</w:t>
      </w:r>
      <w:r w:rsidRPr="009F4300" w:rsidR="00F238C5">
        <w:t xml:space="preserve"> </w:t>
      </w:r>
      <w:r w:rsidRPr="009F4300" w:rsidR="00F238C5">
        <w:lastRenderedPageBreak/>
        <w:t xml:space="preserve">(save to the extent that the provisions of the Prospectus limit the issue of Units in any other </w:t>
      </w:r>
      <w:r w:rsidR="00D30F5C">
        <w:t>Sub-Fund</w:t>
      </w:r>
      <w:r w:rsidRPr="009F4300" w:rsidR="00F238C5">
        <w:t>).</w:t>
      </w:r>
      <w:r>
        <w:t>]</w:t>
      </w:r>
      <w:r w:rsidRPr="002B14E8">
        <w:rPr>
          <w:vertAlign w:val="superscript"/>
        </w:rPr>
        <w:t>2</w:t>
      </w:r>
    </w:p>
    <w:p w:rsidRPr="009F4300" w:rsidR="00F238C5" w:rsidP="00F238C5" w:rsidRDefault="00F238C5" w14:paraId="41AFDF42" w14:textId="60794421">
      <w:pPr>
        <w:pStyle w:val="ssNoHeading2"/>
      </w:pPr>
      <w:bookmarkStart w:name="_DV_M67" w:id="25"/>
      <w:bookmarkStart w:name="_Ref518881668" w:id="26"/>
      <w:bookmarkEnd w:id="25"/>
      <w:r w:rsidRPr="009F4300">
        <w:t xml:space="preserve">The headings </w:t>
      </w:r>
      <w:r w:rsidR="003518DC">
        <w:t>used in this Deed</w:t>
      </w:r>
      <w:r w:rsidRPr="009F4300">
        <w:t xml:space="preserve"> are for convenience only</w:t>
      </w:r>
      <w:r w:rsidR="00ED1A42">
        <w:t>, do not form part of,</w:t>
      </w:r>
      <w:r w:rsidRPr="009F4300">
        <w:t xml:space="preserve"> and shall not affect the construction of this </w:t>
      </w:r>
      <w:r w:rsidR="00B21EE2">
        <w:t>Deed</w:t>
      </w:r>
      <w:bookmarkStart w:name="_DV_M68" w:id="27"/>
      <w:bookmarkEnd w:id="26"/>
      <w:bookmarkEnd w:id="27"/>
      <w:r w:rsidRPr="009F4300">
        <w:t>.</w:t>
      </w:r>
    </w:p>
    <w:p w:rsidR="00ED1A42" w:rsidP="00F238C5" w:rsidRDefault="00ED1A42" w14:paraId="3DC48419" w14:textId="7EE3DCA5">
      <w:pPr>
        <w:pStyle w:val="ssNoHeading2"/>
      </w:pPr>
      <w:bookmarkStart w:name="_Hlk153974569" w:id="28"/>
      <w:r>
        <w:t>Any reference in this Deed to clause numbers shall (unless the contrary intention is expressed) be construed as a reference to clauses of this Deed.</w:t>
      </w:r>
    </w:p>
    <w:p w:rsidR="00F238C5" w:rsidP="00F238C5" w:rsidRDefault="00F238C5" w14:paraId="1314C9A9" w14:textId="6B865F9F">
      <w:pPr>
        <w:pStyle w:val="ssNoHeading2"/>
      </w:pPr>
      <w:r w:rsidRPr="009F4300">
        <w:t xml:space="preserve">The provisions of this </w:t>
      </w:r>
      <w:r w:rsidR="00314A95">
        <w:rPr>
          <w:bCs w:val="0"/>
        </w:rPr>
        <w:t>C</w:t>
      </w:r>
      <w:r w:rsidRPr="009F4300">
        <w:rPr>
          <w:bCs w:val="0"/>
        </w:rPr>
        <w:t xml:space="preserve">lause </w:t>
      </w:r>
      <w:r w:rsidRPr="009F4300" w:rsidR="006B40B1">
        <w:rPr>
          <w:bCs w:val="0"/>
        </w:rPr>
        <w:fldChar w:fldCharType="begin"/>
      </w:r>
      <w:r w:rsidRPr="009F4300" w:rsidR="006B40B1">
        <w:rPr>
          <w:bCs w:val="0"/>
        </w:rPr>
        <w:instrText xml:space="preserve"> REF _Ref173655988 \w \h </w:instrText>
      </w:r>
      <w:r w:rsidRPr="009F4300" w:rsidR="006B40B1">
        <w:rPr>
          <w:bCs w:val="0"/>
        </w:rPr>
      </w:r>
      <w:r w:rsidRPr="009F4300" w:rsidR="006B40B1">
        <w:rPr>
          <w:bCs w:val="0"/>
        </w:rPr>
        <w:fldChar w:fldCharType="separate"/>
      </w:r>
      <w:r w:rsidR="00663122">
        <w:rPr>
          <w:bCs w:val="0"/>
          <w:cs/>
        </w:rPr>
        <w:t>‎</w:t>
      </w:r>
      <w:r w:rsidR="00663122">
        <w:rPr>
          <w:bCs w:val="0"/>
        </w:rPr>
        <w:t>1</w:t>
      </w:r>
      <w:r w:rsidRPr="009F4300" w:rsidR="006B40B1">
        <w:rPr>
          <w:bCs w:val="0"/>
        </w:rPr>
        <w:fldChar w:fldCharType="end"/>
      </w:r>
      <w:r w:rsidRPr="009F4300">
        <w:t xml:space="preserve"> shall also apply to the Recitals.</w:t>
      </w:r>
    </w:p>
    <w:p w:rsidRPr="009F4300" w:rsidR="0092781E" w:rsidP="00F238C5" w:rsidRDefault="0092781E" w14:paraId="7D57F0C8" w14:textId="5628F4B2">
      <w:pPr>
        <w:pStyle w:val="ssNoHeading2"/>
      </w:pPr>
      <w:bookmarkStart w:name="_Hlk153974512" w:id="29"/>
      <w:bookmarkEnd w:id="28"/>
      <w:r>
        <w:t>Nothing in this Deed shall be construed so a</w:t>
      </w:r>
      <w:r w:rsidR="00B12219">
        <w:t>s</w:t>
      </w:r>
      <w:r>
        <w:t xml:space="preserve"> to prohibit the Scheme or any Sub-Fund, the Manager, the Depositary or any other service provider to the Scheme or any Sub-Fund from complying with any applicable laws, rules and/or regulations (including the Regulations)</w:t>
      </w:r>
      <w:bookmarkEnd w:id="29"/>
      <w:r>
        <w:t>.</w:t>
      </w:r>
    </w:p>
    <w:p w:rsidRPr="009F4300" w:rsidR="00F238C5" w:rsidP="00F238C5" w:rsidRDefault="001F22F9" w14:paraId="1F891457" w14:textId="51EEC940">
      <w:pPr>
        <w:pStyle w:val="Heading1"/>
      </w:pPr>
      <w:bookmarkStart w:name="_DV_M69" w:id="30"/>
      <w:bookmarkStart w:name="_DV_M70" w:id="31"/>
      <w:bookmarkStart w:name="_DV_M72" w:id="32"/>
      <w:bookmarkStart w:name="_Ref118275889" w:id="33"/>
      <w:bookmarkStart w:name="_Toc179391831" w:id="34"/>
      <w:bookmarkStart w:name="_Ref524765394" w:id="35"/>
      <w:bookmarkEnd w:id="30"/>
      <w:bookmarkEnd w:id="31"/>
      <w:bookmarkEnd w:id="32"/>
      <w:r w:rsidRPr="009F4300">
        <w:t>Commencement</w:t>
      </w:r>
      <w:bookmarkStart w:name="_NN949" w:id="36"/>
      <w:bookmarkEnd w:id="33"/>
      <w:bookmarkEnd w:id="36"/>
      <w:bookmarkEnd w:id="34"/>
    </w:p>
    <w:p w:rsidRPr="00B53FC4" w:rsidR="00B21EE2" w:rsidP="00B21EE2" w:rsidRDefault="00B21EE2" w14:paraId="5F20DD06" w14:textId="7EB55B83">
      <w:pPr>
        <w:pStyle w:val="ssPara2"/>
      </w:pPr>
      <w:bookmarkStart w:name="_Ref369006730" w:id="37"/>
      <w:r w:rsidRPr="00B53FC4">
        <w:t xml:space="preserve">This Deed shall take effect from, and the </w:t>
      </w:r>
      <w:r>
        <w:t>Scheme</w:t>
      </w:r>
      <w:r w:rsidRPr="00B53FC4">
        <w:t xml:space="preserve"> shall commence on, the date </w:t>
      </w:r>
      <w:r>
        <w:t xml:space="preserve">of </w:t>
      </w:r>
      <w:r w:rsidRPr="00B53FC4">
        <w:t>the order of authorisation</w:t>
      </w:r>
      <w:r>
        <w:t xml:space="preserve"> by the FCA</w:t>
      </w:r>
      <w:r w:rsidRPr="00B53FC4">
        <w:t>.</w:t>
      </w:r>
      <w:r w:rsidR="0093511B">
        <w:t xml:space="preserve"> [The Scheme is to be wound up after the expiry of [</w:t>
      </w:r>
      <w:r w:rsidRPr="00892DBD" w:rsidR="0093511B">
        <w:rPr>
          <w:i/>
          <w:iCs/>
          <w:highlight w:val="yellow"/>
        </w:rPr>
        <w:t>insert period of time</w:t>
      </w:r>
      <w:r w:rsidR="00BC7FF0">
        <w:t>]</w:t>
      </w:r>
      <w:r w:rsidR="0093511B">
        <w:t>.] [The Scheme shall continue in existence until wound up in accordance with the FCA Rules.]</w:t>
      </w:r>
      <w:r w:rsidR="0093511B">
        <w:rPr>
          <w:rStyle w:val="EndnoteReference"/>
        </w:rPr>
        <w:endnoteReference w:id="6"/>
      </w:r>
    </w:p>
    <w:p w:rsidRPr="009F4300" w:rsidR="00F238C5" w:rsidP="00F238C5" w:rsidRDefault="001F22F9" w14:paraId="29A83F9C" w14:textId="6413228E">
      <w:pPr>
        <w:pStyle w:val="Heading1"/>
      </w:pPr>
      <w:bookmarkStart w:name="_Toc179391832" w:id="38"/>
      <w:r w:rsidRPr="009F4300">
        <w:t xml:space="preserve">Name </w:t>
      </w:r>
      <w:r w:rsidRPr="009F4300" w:rsidR="006B40B1">
        <w:t>o</w:t>
      </w:r>
      <w:r w:rsidRPr="009F4300">
        <w:t xml:space="preserve">f </w:t>
      </w:r>
      <w:r w:rsidRPr="009F4300" w:rsidR="006B40B1">
        <w:t>t</w:t>
      </w:r>
      <w:r w:rsidRPr="009F4300">
        <w:t>he Scheme</w:t>
      </w:r>
      <w:bookmarkEnd w:id="35"/>
      <w:bookmarkEnd w:id="37"/>
      <w:bookmarkEnd w:id="38"/>
      <w:r w:rsidRPr="009F4300">
        <w:t xml:space="preserve"> </w:t>
      </w:r>
      <w:bookmarkStart w:name="_NN950" w:id="39"/>
      <w:bookmarkEnd w:id="39"/>
    </w:p>
    <w:p w:rsidRPr="009F4300" w:rsidR="00F238C5" w:rsidP="00F238C5" w:rsidRDefault="00F238C5" w14:paraId="369D15DE" w14:textId="6B104766">
      <w:pPr>
        <w:pStyle w:val="ssPara1"/>
      </w:pPr>
      <w:bookmarkStart w:name="_DV_M73" w:id="40"/>
      <w:bookmarkEnd w:id="40"/>
      <w:r w:rsidRPr="009F4300">
        <w:t xml:space="preserve">The name of the Scheme is </w:t>
      </w:r>
      <w:r w:rsidR="00B21EE2">
        <w:t>[</w:t>
      </w:r>
      <w:r w:rsidRPr="00892DBD" w:rsidR="00B21EE2">
        <w:rPr>
          <w:highlight w:val="yellow"/>
        </w:rPr>
        <w:t>●</w:t>
      </w:r>
      <w:r w:rsidR="00B21EE2">
        <w:t>]</w:t>
      </w:r>
      <w:r w:rsidRPr="009F4300">
        <w:t xml:space="preserve"> </w:t>
      </w:r>
      <w:r w:rsidR="00177994">
        <w:t xml:space="preserve">[LTAF / </w:t>
      </w:r>
      <w:r w:rsidR="00B12E1C">
        <w:t>Long-Term</w:t>
      </w:r>
      <w:r w:rsidR="00177994">
        <w:t xml:space="preserve"> Asset Fund].</w:t>
      </w:r>
      <w:r w:rsidRPr="0093511B" w:rsidR="0093511B">
        <w:rPr>
          <w:rStyle w:val="EndnoteReference"/>
        </w:rPr>
        <w:t xml:space="preserve"> </w:t>
      </w:r>
      <w:r w:rsidR="0093511B">
        <w:rPr>
          <w:rStyle w:val="EndnoteReference"/>
        </w:rPr>
        <w:endnoteReference w:id="7"/>
      </w:r>
    </w:p>
    <w:p w:rsidRPr="009F4300" w:rsidR="00F238C5" w:rsidP="00F238C5" w:rsidRDefault="001F22F9" w14:paraId="435CC974" w14:textId="2C9D129F">
      <w:pPr>
        <w:pStyle w:val="Heading1"/>
      </w:pPr>
      <w:bookmarkStart w:name="_Ref117846143" w:id="41"/>
      <w:bookmarkStart w:name="_Toc179391833" w:id="42"/>
      <w:r w:rsidRPr="009F4300">
        <w:rPr>
          <w:color w:val="000000"/>
        </w:rPr>
        <w:t xml:space="preserve">Object </w:t>
      </w:r>
      <w:r w:rsidRPr="009F4300" w:rsidR="006B40B1">
        <w:rPr>
          <w:color w:val="000000"/>
        </w:rPr>
        <w:t>o</w:t>
      </w:r>
      <w:r w:rsidRPr="009F4300">
        <w:rPr>
          <w:color w:val="000000"/>
        </w:rPr>
        <w:t xml:space="preserve">f </w:t>
      </w:r>
      <w:r w:rsidRPr="009F4300" w:rsidR="006B40B1">
        <w:rPr>
          <w:color w:val="000000"/>
        </w:rPr>
        <w:t>t</w:t>
      </w:r>
      <w:r w:rsidRPr="009F4300">
        <w:rPr>
          <w:color w:val="000000"/>
        </w:rPr>
        <w:t>he Scheme</w:t>
      </w:r>
      <w:bookmarkStart w:name="_NN951" w:id="43"/>
      <w:bookmarkEnd w:id="41"/>
      <w:bookmarkEnd w:id="43"/>
      <w:r w:rsidR="0093511B">
        <w:rPr>
          <w:rStyle w:val="EndnoteReference"/>
          <w:color w:val="000000"/>
        </w:rPr>
        <w:endnoteReference w:id="8"/>
      </w:r>
      <w:bookmarkEnd w:id="42"/>
    </w:p>
    <w:p w:rsidRPr="00787290" w:rsidR="00F238C5" w:rsidP="00B004FE" w:rsidRDefault="00B004FE" w14:paraId="59A93EE1" w14:textId="5B3DF857">
      <w:pPr>
        <w:pStyle w:val="ssNoHeading2"/>
        <w:numPr>
          <w:ilvl w:val="2"/>
          <w:numId w:val="76"/>
        </w:numPr>
        <w:rPr>
          <w:b/>
        </w:rPr>
      </w:pPr>
      <w:bookmarkStart w:name="_Ref372835360" w:id="44"/>
      <w:r>
        <w:t xml:space="preserve">The object of the </w:t>
      </w:r>
      <w:r w:rsidR="00353121">
        <w:t>Scheme</w:t>
      </w:r>
      <w:r>
        <w:t xml:space="preserve"> is to invest the Scheme Property </w:t>
      </w:r>
      <w:r w:rsidRPr="00167DF9">
        <w:t xml:space="preserve">in </w:t>
      </w:r>
      <w:r>
        <w:t xml:space="preserve">deposits, electronic money, contracts of insurance, shares, debentures, government and public securities, warrants, certificates representing certain securities, units in collective investment schemes, rights in AIFs, stakeholder and personal pension schemes, options, futures, contracts for differences, underwriting or membership of Lloyd’s syndicates, rights or interests to any of the aforementioned investments; interests in loan, interests in land or buildings (‘immovables’), precious metals (gold, silver or platinum) and commodity contracts, </w:t>
      </w:r>
      <w:r w:rsidRPr="00397375">
        <w:rPr>
          <w:rFonts w:eastAsia="Times New Roman"/>
        </w:rPr>
        <w:t xml:space="preserve">each </w:t>
      </w:r>
      <w:r w:rsidRPr="00167DF9">
        <w:t xml:space="preserve">in accordance with the FCA Rules applicable to the </w:t>
      </w:r>
      <w:r w:rsidR="00353121">
        <w:t>Scheme</w:t>
      </w:r>
      <w:r w:rsidRPr="00167DF9">
        <w:t xml:space="preserve"> and the investment approach and restrictions applicable to </w:t>
      </w:r>
      <w:r>
        <w:t xml:space="preserve">[the </w:t>
      </w:r>
      <w:r w:rsidR="00353121">
        <w:t>Scheme</w:t>
      </w:r>
      <w:r>
        <w:t xml:space="preserve"> / </w:t>
      </w:r>
      <w:r w:rsidRPr="00167DF9">
        <w:t xml:space="preserve">each </w:t>
      </w:r>
      <w:r w:rsidR="00353121">
        <w:t>Sub-Fund</w:t>
      </w:r>
      <w:r>
        <w:t>]</w:t>
      </w:r>
      <w:r>
        <w:rPr>
          <w:vertAlign w:val="superscript"/>
        </w:rPr>
        <w:t>2</w:t>
      </w:r>
      <w:r w:rsidRPr="00167DF9">
        <w:t xml:space="preserve"> as set out in the Prospectus</w:t>
      </w:r>
      <w:r>
        <w:t>, with the aim of spreading investment risk</w:t>
      </w:r>
      <w:r w:rsidRPr="000141F7">
        <w:rPr>
          <w:rStyle w:val="EndnoteReference"/>
        </w:rPr>
        <w:endnoteReference w:id="9"/>
      </w:r>
      <w:r>
        <w:t xml:space="preserve">. </w:t>
      </w:r>
      <w:bookmarkEnd w:id="44"/>
    </w:p>
    <w:p w:rsidR="00F238C5" w:rsidP="00F238C5" w:rsidRDefault="00F238C5" w14:paraId="4CDE327A" w14:textId="6D96F55C">
      <w:pPr>
        <w:pStyle w:val="ssNoHeading2"/>
      </w:pPr>
      <w:r w:rsidRPr="009F4300">
        <w:t xml:space="preserve">The asset types described in </w:t>
      </w:r>
      <w:r w:rsidR="00314A95">
        <w:rPr>
          <w:bCs w:val="0"/>
        </w:rPr>
        <w:t>C</w:t>
      </w:r>
      <w:r w:rsidRPr="009F4300">
        <w:rPr>
          <w:bCs w:val="0"/>
        </w:rPr>
        <w:t xml:space="preserve">lause </w:t>
      </w:r>
      <w:r w:rsidR="005077F9">
        <w:rPr>
          <w:bCs w:val="0"/>
        </w:rPr>
        <w:fldChar w:fldCharType="begin"/>
      </w:r>
      <w:r w:rsidR="005077F9">
        <w:rPr>
          <w:bCs w:val="0"/>
        </w:rPr>
        <w:instrText xml:space="preserve"> REF _Ref372835360 \r \h </w:instrText>
      </w:r>
      <w:r w:rsidR="005077F9">
        <w:rPr>
          <w:bCs w:val="0"/>
        </w:rPr>
      </w:r>
      <w:r w:rsidR="005077F9">
        <w:rPr>
          <w:bCs w:val="0"/>
        </w:rPr>
        <w:fldChar w:fldCharType="separate"/>
      </w:r>
      <w:r w:rsidR="00663122">
        <w:rPr>
          <w:bCs w:val="0"/>
          <w:cs/>
        </w:rPr>
        <w:t>‎</w:t>
      </w:r>
      <w:r w:rsidR="00663122">
        <w:rPr>
          <w:bCs w:val="0"/>
        </w:rPr>
        <w:t>4.1</w:t>
      </w:r>
      <w:r w:rsidR="005077F9">
        <w:rPr>
          <w:bCs w:val="0"/>
        </w:rPr>
        <w:fldChar w:fldCharType="end"/>
      </w:r>
      <w:r w:rsidR="005077F9">
        <w:rPr>
          <w:bCs w:val="0"/>
        </w:rPr>
        <w:t xml:space="preserve"> </w:t>
      </w:r>
      <w:r w:rsidRPr="009F4300">
        <w:t>currently permitted for investment and any limitation on investment in those asset types are disclosed in the Prospectus.</w:t>
      </w:r>
    </w:p>
    <w:p w:rsidR="00F238C5" w:rsidP="00F238C5" w:rsidRDefault="00F238C5" w14:paraId="03434C03" w14:textId="1FDCA42E">
      <w:pPr>
        <w:pStyle w:val="ssNoHeading2"/>
      </w:pPr>
      <w:r w:rsidRPr="009F4300">
        <w:t xml:space="preserve">The Unitholders are co-investors.  They are not carrying on business in common, and </w:t>
      </w:r>
      <w:r w:rsidR="00AA61D8">
        <w:t>[the Scheme is</w:t>
      </w:r>
      <w:r w:rsidR="00D210CA">
        <w:t xml:space="preserve"> </w:t>
      </w:r>
      <w:r w:rsidR="00AA61D8">
        <w:t>/</w:t>
      </w:r>
      <w:r w:rsidR="00D210CA">
        <w:t xml:space="preserve"> </w:t>
      </w:r>
      <w:r w:rsidRPr="009F4300">
        <w:t xml:space="preserve">the </w:t>
      </w:r>
      <w:r w:rsidR="00D30F5C">
        <w:t>Sub-Fund</w:t>
      </w:r>
      <w:r w:rsidRPr="009F4300">
        <w:t>s are</w:t>
      </w:r>
      <w:r w:rsidR="00AA61D8">
        <w:t>]</w:t>
      </w:r>
      <w:r w:rsidRPr="002B14E8" w:rsidR="00AA61D8">
        <w:rPr>
          <w:vertAlign w:val="superscript"/>
        </w:rPr>
        <w:t>2</w:t>
      </w:r>
      <w:r w:rsidRPr="009F4300">
        <w:t xml:space="preserve"> not partnerships, limited partnerships, authorised limited partnerships or bodies corporate.</w:t>
      </w:r>
      <w:r w:rsidR="0093511B">
        <w:rPr>
          <w:rStyle w:val="EndnoteReference"/>
        </w:rPr>
        <w:endnoteReference w:id="10"/>
      </w:r>
    </w:p>
    <w:p w:rsidRPr="009F4300" w:rsidR="00F238C5" w:rsidP="00F238C5" w:rsidRDefault="001F22F9" w14:paraId="47C7D2D3" w14:textId="5FE750BE">
      <w:pPr>
        <w:pStyle w:val="Heading1"/>
      </w:pPr>
      <w:bookmarkStart w:name="_Toc179391834" w:id="45"/>
      <w:r w:rsidRPr="009F4300">
        <w:t>Type of Scheme</w:t>
      </w:r>
      <w:bookmarkStart w:name="_NN952" w:id="46"/>
      <w:bookmarkEnd w:id="46"/>
      <w:r w:rsidR="00400BAE">
        <w:t xml:space="preserve"> and Regulatory Designations</w:t>
      </w:r>
      <w:bookmarkEnd w:id="45"/>
    </w:p>
    <w:p w:rsidR="00400BAE" w:rsidP="00F238C5" w:rsidRDefault="00F127A8" w14:paraId="5EB70232" w14:textId="77777777">
      <w:pPr>
        <w:pStyle w:val="ssNoHeading2"/>
      </w:pPr>
      <w:r>
        <w:t>This Deed is</w:t>
      </w:r>
      <w:r w:rsidRPr="009F4300" w:rsidR="00F238C5">
        <w:t xml:space="preserve"> intended to constitute a Co-Ownership Scheme as defined under section 235A(2) of </w:t>
      </w:r>
      <w:r w:rsidR="00881E02">
        <w:t>the Act</w:t>
      </w:r>
      <w:r w:rsidRPr="009F4300" w:rsidR="00F238C5">
        <w:t xml:space="preserve">. </w:t>
      </w:r>
    </w:p>
    <w:p w:rsidR="00400BAE" w:rsidP="00F238C5" w:rsidRDefault="00F238C5" w14:paraId="686D7AB0" w14:textId="496B0E68">
      <w:pPr>
        <w:pStyle w:val="ssNoHeading2"/>
      </w:pPr>
      <w:r w:rsidRPr="009F4300">
        <w:t>The Scheme is an AIF</w:t>
      </w:r>
      <w:r w:rsidR="00400BAE">
        <w:t xml:space="preserve"> for the purposes of the AIFMD Regulations. The </w:t>
      </w:r>
      <w:r w:rsidR="00C21A42">
        <w:t>Manager</w:t>
      </w:r>
      <w:r w:rsidR="00400BAE">
        <w:t xml:space="preserve"> is the AIFM of the Scheme for the purposes of the AIFMD Regulations.</w:t>
      </w:r>
    </w:p>
    <w:p w:rsidRPr="009F4300" w:rsidR="00F238C5" w:rsidP="00F238C5" w:rsidRDefault="00400BAE" w14:paraId="57EFCA49" w14:textId="48044AF9">
      <w:pPr>
        <w:pStyle w:val="ssNoHeading2"/>
      </w:pPr>
      <w:r>
        <w:lastRenderedPageBreak/>
        <w:t>The Scheme is</w:t>
      </w:r>
      <w:r w:rsidRPr="009F4300" w:rsidR="00F238C5">
        <w:t xml:space="preserve"> an</w:t>
      </w:r>
      <w:r>
        <w:t xml:space="preserve"> [umbrella]</w:t>
      </w:r>
      <w:r w:rsidRPr="002B14E8" w:rsidR="00AA61D8">
        <w:rPr>
          <w:vertAlign w:val="superscript"/>
        </w:rPr>
        <w:t>2</w:t>
      </w:r>
      <w:r w:rsidRPr="009F4300" w:rsidR="00F238C5">
        <w:t xml:space="preserve"> </w:t>
      </w:r>
      <w:r w:rsidR="00F127A8">
        <w:t>LTAF</w:t>
      </w:r>
      <w:r w:rsidRPr="009F4300" w:rsidR="00F238C5">
        <w:t xml:space="preserve"> for the purpose</w:t>
      </w:r>
      <w:r>
        <w:t>s</w:t>
      </w:r>
      <w:r w:rsidRPr="009F4300" w:rsidR="00F238C5">
        <w:t xml:space="preserve"> of the </w:t>
      </w:r>
      <w:r>
        <w:t>FCA Rules</w:t>
      </w:r>
      <w:r w:rsidRPr="009F4300" w:rsidR="00F238C5">
        <w:t>.</w:t>
      </w:r>
    </w:p>
    <w:p w:rsidRPr="009F4300" w:rsidR="00F238C5" w:rsidP="00F238C5" w:rsidRDefault="00AA61D8" w14:paraId="25303700" w14:textId="332C3B31">
      <w:pPr>
        <w:pStyle w:val="ssNoHeading2"/>
      </w:pPr>
      <w:r>
        <w:t>[</w:t>
      </w:r>
      <w:r w:rsidRPr="009F4300" w:rsidR="00F238C5">
        <w:t>The Scheme comprises the Sub-</w:t>
      </w:r>
      <w:r w:rsidR="00F127A8">
        <w:t>F</w:t>
      </w:r>
      <w:r w:rsidRPr="009F4300" w:rsidR="00F238C5">
        <w:t xml:space="preserve">unds set out in </w:t>
      </w:r>
      <w:r w:rsidR="00B202DF">
        <w:fldChar w:fldCharType="begin"/>
      </w:r>
      <w:r w:rsidR="00B202DF">
        <w:instrText xml:space="preserve"> REF _Ref117249332 \r \h </w:instrText>
      </w:r>
      <w:r w:rsidR="00B202DF">
        <w:fldChar w:fldCharType="separate"/>
      </w:r>
      <w:r w:rsidR="00663122">
        <w:rPr>
          <w:cs/>
        </w:rPr>
        <w:t>‎</w:t>
      </w:r>
      <w:r w:rsidR="00663122">
        <w:t>Part 1</w:t>
      </w:r>
      <w:r w:rsidR="00B202DF">
        <w:fldChar w:fldCharType="end"/>
      </w:r>
      <w:r w:rsidRPr="009F4300" w:rsidR="00F238C5">
        <w:t xml:space="preserve"> of the Schedule each of which is an AIF</w:t>
      </w:r>
      <w:r w:rsidR="00400BAE">
        <w:t xml:space="preserve"> for the purposes of the AIFMD Regulations</w:t>
      </w:r>
      <w:r w:rsidRPr="009F4300" w:rsidR="00F238C5">
        <w:t xml:space="preserve"> and a </w:t>
      </w:r>
      <w:r w:rsidR="00F127A8">
        <w:t>LTAF</w:t>
      </w:r>
      <w:r w:rsidRPr="009F4300" w:rsidR="00F238C5">
        <w:t xml:space="preserve"> for the purposes of the </w:t>
      </w:r>
      <w:r w:rsidR="00400BAE">
        <w:t>FCA Rules</w:t>
      </w:r>
      <w:r w:rsidRPr="009F4300" w:rsidR="00F238C5">
        <w:t>.</w:t>
      </w:r>
      <w:r>
        <w:t>]</w:t>
      </w:r>
      <w:r w:rsidRPr="002B14E8">
        <w:rPr>
          <w:vertAlign w:val="superscript"/>
        </w:rPr>
        <w:t>2</w:t>
      </w:r>
    </w:p>
    <w:p w:rsidRPr="009F4300" w:rsidR="00F238C5" w:rsidP="00F238C5" w:rsidRDefault="00F238C5" w14:paraId="45BAC4BB" w14:textId="4947398E">
      <w:pPr>
        <w:pStyle w:val="ssNoHeading2"/>
      </w:pPr>
      <w:r w:rsidRPr="009F4300">
        <w:t xml:space="preserve">The investment objective of </w:t>
      </w:r>
      <w:r w:rsidR="00AA61D8">
        <w:t>[the Schem</w:t>
      </w:r>
      <w:r w:rsidR="00D210CA">
        <w:t xml:space="preserve">e </w:t>
      </w:r>
      <w:r w:rsidR="00AA61D8">
        <w:t>/</w:t>
      </w:r>
      <w:r w:rsidR="00D210CA">
        <w:t xml:space="preserve"> </w:t>
      </w:r>
      <w:r w:rsidRPr="009F4300">
        <w:t>each Sub-</w:t>
      </w:r>
      <w:r w:rsidR="00F127A8">
        <w:t>F</w:t>
      </w:r>
      <w:r w:rsidRPr="009F4300">
        <w:t>und</w:t>
      </w:r>
      <w:r w:rsidR="00AA61D8">
        <w:t>]</w:t>
      </w:r>
      <w:r w:rsidRPr="002B14E8" w:rsidR="00AA61D8">
        <w:rPr>
          <w:vertAlign w:val="superscript"/>
        </w:rPr>
        <w:t>2</w:t>
      </w:r>
      <w:r w:rsidRPr="009F4300">
        <w:t xml:space="preserve"> is set out in </w:t>
      </w:r>
      <w:r w:rsidR="006F7E70">
        <w:fldChar w:fldCharType="begin"/>
      </w:r>
      <w:r w:rsidR="006F7E70">
        <w:instrText xml:space="preserve"> REF _Ref153961649 \r \h </w:instrText>
      </w:r>
      <w:r w:rsidR="006F7E70">
        <w:fldChar w:fldCharType="separate"/>
      </w:r>
      <w:r w:rsidR="00663122">
        <w:rPr>
          <w:cs/>
        </w:rPr>
        <w:t>‎</w:t>
      </w:r>
      <w:r w:rsidR="00663122">
        <w:t>Part 1</w:t>
      </w:r>
      <w:r w:rsidR="006F7E70">
        <w:fldChar w:fldCharType="end"/>
      </w:r>
      <w:r w:rsidRPr="009F4300">
        <w:t xml:space="preserve"> of the Schedule.</w:t>
      </w:r>
    </w:p>
    <w:p w:rsidRPr="009F4300" w:rsidR="00F238C5" w:rsidP="00F238C5" w:rsidRDefault="00F238C5" w14:paraId="291A0996" w14:textId="1F389352">
      <w:pPr>
        <w:pStyle w:val="ssNoHeading2"/>
      </w:pPr>
      <w:bookmarkStart w:name="_Ref118276121" w:id="47"/>
      <w:r w:rsidRPr="009F4300">
        <w:t xml:space="preserve">Subject to the Regulations, for the avoidance of doubt, all consideration </w:t>
      </w:r>
      <w:r w:rsidR="009357CA">
        <w:t xml:space="preserve">received </w:t>
      </w:r>
      <w:r w:rsidRPr="009F4300">
        <w:t xml:space="preserve">for the account of the Scheme for the issue of Units </w:t>
      </w:r>
      <w:r w:rsidR="00AA61D8">
        <w:t>[</w:t>
      </w:r>
      <w:r w:rsidRPr="009F4300">
        <w:t>in respect of a Sub-</w:t>
      </w:r>
      <w:r w:rsidR="00D30F5C">
        <w:t>F</w:t>
      </w:r>
      <w:r w:rsidRPr="009F4300">
        <w:t>und</w:t>
      </w:r>
      <w:r w:rsidR="00AA61D8">
        <w:t>]</w:t>
      </w:r>
      <w:r w:rsidRPr="002B14E8" w:rsidR="00AA61D8">
        <w:rPr>
          <w:vertAlign w:val="superscript"/>
        </w:rPr>
        <w:t>2</w:t>
      </w:r>
      <w:r w:rsidRPr="009F4300">
        <w:t xml:space="preserve"> together with the investments in which such consideration is invested or re-invested, and all income, earnings, profits and proceeds thereof and liabilities and expenses relating thereto shall be pooled and kept separate from all other monies, investments, assets, liabilities and expenses of the Scheme </w:t>
      </w:r>
      <w:r w:rsidR="00AA61D8">
        <w:t>[</w:t>
      </w:r>
      <w:r w:rsidRPr="009F4300">
        <w:t>and the following provisions shall apply to each Sub-</w:t>
      </w:r>
      <w:r w:rsidR="00D30F5C">
        <w:t>F</w:t>
      </w:r>
      <w:r w:rsidRPr="009F4300">
        <w:t>und:</w:t>
      </w:r>
      <w:bookmarkEnd w:id="47"/>
    </w:p>
    <w:p w:rsidRPr="009F4300" w:rsidR="00F238C5" w:rsidP="00F238C5" w:rsidRDefault="00F238C5" w14:paraId="66EE7630" w14:textId="467560FC">
      <w:pPr>
        <w:pStyle w:val="ssNoHeading3"/>
      </w:pPr>
      <w:r w:rsidRPr="009F4300">
        <w:t xml:space="preserve">for each </w:t>
      </w:r>
      <w:r w:rsidR="00D30F5C">
        <w:t>Sub-Fund</w:t>
      </w:r>
      <w:r w:rsidRPr="009F4300">
        <w:t xml:space="preserve"> the </w:t>
      </w:r>
      <w:r w:rsidR="00B21EE2">
        <w:t>Manager</w:t>
      </w:r>
      <w:r w:rsidRPr="009F4300">
        <w:t xml:space="preserve"> shall keep books in which all transactions relating to the relevant </w:t>
      </w:r>
      <w:r w:rsidR="00D30F5C">
        <w:t>Sub-Fund</w:t>
      </w:r>
      <w:r w:rsidRPr="009F4300">
        <w:t xml:space="preserve"> shall be separately recorded and the assets and the liabilities, income and expenditure attributable to that </w:t>
      </w:r>
      <w:r w:rsidR="00D30F5C">
        <w:t>Sub-Fund</w:t>
      </w:r>
      <w:r w:rsidRPr="009F4300">
        <w:t xml:space="preserve"> shall be applied or charged to such </w:t>
      </w:r>
      <w:r w:rsidR="00D30F5C">
        <w:t>Sub-Fund</w:t>
      </w:r>
      <w:r w:rsidRPr="009F4300">
        <w:t xml:space="preserve"> subject to the provisions of this </w:t>
      </w:r>
      <w:r w:rsidR="00314A95">
        <w:t>C</w:t>
      </w:r>
      <w:r w:rsidRPr="009F4300">
        <w:t>lause;</w:t>
      </w:r>
    </w:p>
    <w:p w:rsidRPr="009F4300" w:rsidR="00F238C5" w:rsidP="00F238C5" w:rsidRDefault="00F238C5" w14:paraId="65390034" w14:textId="347372B5">
      <w:pPr>
        <w:pStyle w:val="ssNoHeading3"/>
      </w:pPr>
      <w:r w:rsidRPr="009F4300">
        <w:t xml:space="preserve">any asset derived from another asset (whether cash or otherwise comprised in any </w:t>
      </w:r>
      <w:r w:rsidR="00D30F5C">
        <w:t>Sub-Fund</w:t>
      </w:r>
      <w:r w:rsidRPr="009F4300">
        <w:t xml:space="preserve"> shall be applied in the books of the Scheme to the same </w:t>
      </w:r>
      <w:r w:rsidR="00D30F5C">
        <w:t>Sub-Fund</w:t>
      </w:r>
      <w:r w:rsidRPr="009F4300">
        <w:t xml:space="preserve"> from which it was derived and any increase or diminution in the value of such asset shall be applied to the relevant </w:t>
      </w:r>
      <w:r w:rsidR="00D30F5C">
        <w:t>Sub-Fund;</w:t>
      </w:r>
    </w:p>
    <w:p w:rsidRPr="009F4300" w:rsidR="00F238C5" w:rsidP="00F238C5" w:rsidRDefault="00F238C5" w14:paraId="56C9B2E4" w14:textId="167FB656">
      <w:pPr>
        <w:pStyle w:val="ssNoHeading3"/>
      </w:pPr>
      <w:r w:rsidRPr="009F4300">
        <w:t xml:space="preserve">each </w:t>
      </w:r>
      <w:r w:rsidR="00D30F5C">
        <w:t>Sub-Fund</w:t>
      </w:r>
      <w:r w:rsidRPr="009F4300">
        <w:t xml:space="preserve"> shall be charged with the liabilities, expenses, costs and charges of the Scheme attributable to that </w:t>
      </w:r>
      <w:r w:rsidR="00D30F5C">
        <w:t>Sub-Fund;</w:t>
      </w:r>
      <w:r w:rsidRPr="009F4300">
        <w:t xml:space="preserve"> and</w:t>
      </w:r>
    </w:p>
    <w:p w:rsidRPr="009F4300" w:rsidR="00F238C5" w:rsidP="00F238C5" w:rsidRDefault="00F238C5" w14:paraId="12E0B32A" w14:textId="473F0D73">
      <w:pPr>
        <w:pStyle w:val="ssNoHeading3"/>
      </w:pPr>
      <w:r w:rsidRPr="009F4300">
        <w:t xml:space="preserve">any assets, liabilities, expenses, costs or charges not attributable to one </w:t>
      </w:r>
      <w:r w:rsidR="00D30F5C">
        <w:t>Sub-Fund</w:t>
      </w:r>
      <w:r w:rsidRPr="009F4300">
        <w:t xml:space="preserve"> alone may be allocated by the </w:t>
      </w:r>
      <w:r w:rsidR="00B21EE2">
        <w:t>Manager</w:t>
      </w:r>
      <w:r w:rsidRPr="009F4300">
        <w:t xml:space="preserve"> between </w:t>
      </w:r>
      <w:r w:rsidR="00D30F5C">
        <w:t>Sub-Fund</w:t>
      </w:r>
      <w:r w:rsidRPr="009F4300">
        <w:t xml:space="preserve">s in accordance with the Regulations in a manner which the </w:t>
      </w:r>
      <w:r w:rsidR="00B21EE2">
        <w:t>Manager</w:t>
      </w:r>
      <w:r w:rsidRPr="009F4300">
        <w:t xml:space="preserve"> considers is fair to the Unitholders</w:t>
      </w:r>
      <w:r w:rsidR="00770882">
        <w:t xml:space="preserve"> generally</w:t>
      </w:r>
      <w:r w:rsidRPr="009F4300">
        <w:t>.</w:t>
      </w:r>
    </w:p>
    <w:p w:rsidR="00881E02" w:rsidP="001E0B2F" w:rsidRDefault="00881E02" w14:paraId="1A965C40" w14:textId="5EE5E9EE">
      <w:pPr>
        <w:pStyle w:val="ssNoHeading2"/>
        <w:numPr>
          <w:ilvl w:val="2"/>
          <w:numId w:val="76"/>
        </w:numPr>
      </w:pPr>
      <w:bookmarkStart w:name="_Ref382935772" w:id="48"/>
      <w:r>
        <w:t xml:space="preserve">Subject to </w:t>
      </w:r>
      <w:r w:rsidR="00314A95">
        <w:t>C</w:t>
      </w:r>
      <w:r>
        <w:t xml:space="preserve">lause </w:t>
      </w:r>
      <w:r>
        <w:fldChar w:fldCharType="begin"/>
      </w:r>
      <w:r>
        <w:instrText xml:space="preserve"> REF _Ref372835360 \w \h </w:instrText>
      </w:r>
      <w:r>
        <w:fldChar w:fldCharType="separate"/>
      </w:r>
      <w:r w:rsidR="00663122">
        <w:rPr>
          <w:cs/>
        </w:rPr>
        <w:t>‎</w:t>
      </w:r>
      <w:r w:rsidR="00663122">
        <w:t>4.1</w:t>
      </w:r>
      <w:r>
        <w:fldChar w:fldCharType="end"/>
      </w:r>
      <w:r>
        <w:fldChar w:fldCharType="begin"/>
      </w:r>
      <w:r>
        <w:instrText xml:space="preserve"> REF _Ref117846143 \r \h </w:instrText>
      </w:r>
      <w:r>
        <w:fldChar w:fldCharType="separate"/>
      </w:r>
      <w:r w:rsidR="00663122">
        <w:rPr>
          <w:cs/>
        </w:rPr>
        <w:t>‎</w:t>
      </w:r>
      <w:r w:rsidR="00663122">
        <w:t>4</w:t>
      </w:r>
      <w:r>
        <w:fldChar w:fldCharType="end"/>
      </w:r>
      <w:r>
        <w:t>, the Manager may without obtaining the authority of Unitholders, by resolution from time to time create such additiona</w:t>
      </w:r>
      <w:r w:rsidR="00D53641">
        <w:t>l</w:t>
      </w:r>
      <w:r>
        <w:t xml:space="preserve"> Sub-Funds, in addition to those set out in </w:t>
      </w:r>
      <w:r w:rsidR="0041310A">
        <w:fldChar w:fldCharType="begin"/>
      </w:r>
      <w:r w:rsidR="0041310A">
        <w:instrText xml:space="preserve"> REF _Ref118215025 \r \h </w:instrText>
      </w:r>
      <w:r w:rsidR="0041310A">
        <w:fldChar w:fldCharType="separate"/>
      </w:r>
      <w:r w:rsidR="00663122">
        <w:rPr>
          <w:cs/>
        </w:rPr>
        <w:t>‎</w:t>
      </w:r>
      <w:r w:rsidR="00663122">
        <w:t>Part 1</w:t>
      </w:r>
      <w:r w:rsidR="0041310A">
        <w:fldChar w:fldCharType="end"/>
      </w:r>
      <w:r w:rsidR="0041310A">
        <w:t xml:space="preserve"> </w:t>
      </w:r>
      <w:r>
        <w:t>of the Schedule, with such objective(s), approach(es) and/or restriction(s) as to investment or otherwise, and with such base currencies, as it shall from time to time determine and this Deed will be updated accordingly.</w:t>
      </w:r>
    </w:p>
    <w:p w:rsidRPr="009F4300" w:rsidR="00F238C5" w:rsidP="00F238C5" w:rsidRDefault="00F238C5" w14:paraId="0A47C194" w14:textId="6E296D0B">
      <w:pPr>
        <w:pStyle w:val="ssNoHeading2"/>
      </w:pPr>
      <w:bookmarkStart w:name="_Ref117847807" w:id="49"/>
      <w:r w:rsidRPr="009F4300">
        <w:t xml:space="preserve">The assets of each </w:t>
      </w:r>
      <w:r w:rsidR="00D30F5C">
        <w:t>Sub-Fund</w:t>
      </w:r>
      <w:r w:rsidRPr="009F4300">
        <w:t xml:space="preserve"> are and shall be beneficially owned by the Unitholders in that </w:t>
      </w:r>
      <w:r w:rsidR="00D30F5C">
        <w:t>Sub-Fund</w:t>
      </w:r>
      <w:r w:rsidRPr="009F4300">
        <w:t xml:space="preserve"> as tenants in common and must not be used to discharge any liabilities of, or any claim against, any person other than the Unitholders in that </w:t>
      </w:r>
      <w:r w:rsidR="00D30F5C">
        <w:t>Sub-Fund</w:t>
      </w:r>
      <w:r w:rsidRPr="009F4300">
        <w:t>.</w:t>
      </w:r>
      <w:bookmarkEnd w:id="48"/>
      <w:bookmarkEnd w:id="49"/>
      <w:r w:rsidR="00D53641">
        <w:t>]</w:t>
      </w:r>
      <w:r w:rsidR="00D53641">
        <w:rPr>
          <w:rStyle w:val="EndnoteReference"/>
        </w:rPr>
        <w:endnoteReference w:id="11"/>
      </w:r>
    </w:p>
    <w:p w:rsidRPr="009F4300" w:rsidR="00F238C5" w:rsidP="00F238C5" w:rsidRDefault="00F238C5" w14:paraId="7DDA091A" w14:textId="77FCD83D">
      <w:pPr>
        <w:pStyle w:val="ssNoHeading2"/>
      </w:pPr>
      <w:bookmarkStart w:name="_Ref118276127" w:id="50"/>
      <w:r w:rsidRPr="009F4300">
        <w:t xml:space="preserve">Any provision contained in any contract, agreement or other document is void in so far as it is inconsistent with </w:t>
      </w:r>
      <w:r w:rsidR="00314A95">
        <w:rPr>
          <w:bCs w:val="0"/>
        </w:rPr>
        <w:t>C</w:t>
      </w:r>
      <w:r w:rsidRPr="009F4300">
        <w:rPr>
          <w:bCs w:val="0"/>
        </w:rPr>
        <w:t xml:space="preserve">lause </w:t>
      </w:r>
      <w:r w:rsidR="00881E02">
        <w:rPr>
          <w:bCs w:val="0"/>
        </w:rPr>
        <w:fldChar w:fldCharType="begin"/>
      </w:r>
      <w:r w:rsidR="00881E02">
        <w:rPr>
          <w:bCs w:val="0"/>
        </w:rPr>
        <w:instrText xml:space="preserve"> REF _Ref117847807 \r \h </w:instrText>
      </w:r>
      <w:r w:rsidR="00881E02">
        <w:rPr>
          <w:bCs w:val="0"/>
        </w:rPr>
      </w:r>
      <w:r w:rsidR="00881E02">
        <w:rPr>
          <w:bCs w:val="0"/>
        </w:rPr>
        <w:fldChar w:fldCharType="separate"/>
      </w:r>
      <w:r w:rsidR="00663122">
        <w:rPr>
          <w:bCs w:val="0"/>
          <w:cs/>
        </w:rPr>
        <w:t>‎</w:t>
      </w:r>
      <w:r w:rsidR="00663122">
        <w:rPr>
          <w:bCs w:val="0"/>
        </w:rPr>
        <w:t>5.8</w:t>
      </w:r>
      <w:r w:rsidR="00881E02">
        <w:rPr>
          <w:bCs w:val="0"/>
        </w:rPr>
        <w:fldChar w:fldCharType="end"/>
      </w:r>
      <w:r w:rsidRPr="009F4300">
        <w:t xml:space="preserve"> and any transaction involving the application of Scheme Property in contravention of </w:t>
      </w:r>
      <w:r w:rsidR="00314A95">
        <w:rPr>
          <w:bCs w:val="0"/>
        </w:rPr>
        <w:t>C</w:t>
      </w:r>
      <w:r w:rsidRPr="009F4300">
        <w:rPr>
          <w:bCs w:val="0"/>
        </w:rPr>
        <w:t xml:space="preserve">lause </w:t>
      </w:r>
      <w:r w:rsidR="006F7E70">
        <w:rPr>
          <w:bCs w:val="0"/>
        </w:rPr>
        <w:fldChar w:fldCharType="begin"/>
      </w:r>
      <w:r w:rsidR="006F7E70">
        <w:rPr>
          <w:bCs w:val="0"/>
        </w:rPr>
        <w:instrText xml:space="preserve"> REF _Ref118276121 \r \h </w:instrText>
      </w:r>
      <w:r w:rsidR="006F7E70">
        <w:rPr>
          <w:bCs w:val="0"/>
        </w:rPr>
      </w:r>
      <w:r w:rsidR="006F7E70">
        <w:rPr>
          <w:bCs w:val="0"/>
        </w:rPr>
        <w:fldChar w:fldCharType="separate"/>
      </w:r>
      <w:r w:rsidR="00663122">
        <w:rPr>
          <w:bCs w:val="0"/>
          <w:cs/>
        </w:rPr>
        <w:t>‎</w:t>
      </w:r>
      <w:r w:rsidR="00663122">
        <w:rPr>
          <w:bCs w:val="0"/>
        </w:rPr>
        <w:t>5.6</w:t>
      </w:r>
      <w:r w:rsidR="006F7E70">
        <w:rPr>
          <w:bCs w:val="0"/>
        </w:rPr>
        <w:fldChar w:fldCharType="end"/>
      </w:r>
      <w:r w:rsidR="006F7E70">
        <w:rPr>
          <w:bCs w:val="0"/>
        </w:rPr>
        <w:t xml:space="preserve"> </w:t>
      </w:r>
      <w:r w:rsidRPr="009F4300">
        <w:t>is void.</w:t>
      </w:r>
      <w:bookmarkEnd w:id="50"/>
    </w:p>
    <w:p w:rsidRPr="009F4300" w:rsidR="00F238C5" w:rsidP="00F238C5" w:rsidRDefault="00B21EE2" w14:paraId="309C2F72" w14:textId="1D1208D4">
      <w:pPr>
        <w:pStyle w:val="Heading1"/>
      </w:pPr>
      <w:bookmarkStart w:name="_Toc179391835" w:id="51"/>
      <w:r>
        <w:t>Deed</w:t>
      </w:r>
      <w:r w:rsidRPr="009F4300" w:rsidR="001F22F9">
        <w:t xml:space="preserve"> Binding</w:t>
      </w:r>
      <w:bookmarkStart w:name="_NN953" w:id="52"/>
      <w:bookmarkEnd w:id="52"/>
      <w:bookmarkEnd w:id="51"/>
    </w:p>
    <w:p w:rsidRPr="009F4300" w:rsidR="00F238C5" w:rsidP="00F238C5" w:rsidRDefault="00F238C5" w14:paraId="72D4EBC6" w14:textId="6A882514">
      <w:pPr>
        <w:pStyle w:val="ssPara1"/>
      </w:pPr>
      <w:r w:rsidRPr="009F4300">
        <w:t xml:space="preserve">With effect on and from the date that any person has become a Unitholder </w:t>
      </w:r>
      <w:r w:rsidR="00AA61D8">
        <w:t>[</w:t>
      </w:r>
      <w:r w:rsidRPr="009F4300">
        <w:t xml:space="preserve">of a </w:t>
      </w:r>
      <w:r w:rsidR="00D30F5C">
        <w:t>Sub-Fund</w:t>
      </w:r>
      <w:r w:rsidR="00AA61D8">
        <w:t>]</w:t>
      </w:r>
      <w:r w:rsidRPr="002B14E8" w:rsidR="00AA61D8">
        <w:rPr>
          <w:vertAlign w:val="superscript"/>
        </w:rPr>
        <w:t>2</w:t>
      </w:r>
      <w:r w:rsidRPr="009F4300">
        <w:t xml:space="preserve">, the provisions of this </w:t>
      </w:r>
      <w:r w:rsidR="00B21EE2">
        <w:t>Deed</w:t>
      </w:r>
      <w:r w:rsidRPr="009F4300">
        <w:t xml:space="preserve"> shall be binding upon such Unitholder as if it had been a party to this </w:t>
      </w:r>
      <w:r w:rsidR="00B21EE2">
        <w:t>Deed</w:t>
      </w:r>
      <w:r w:rsidRPr="009F4300">
        <w:t xml:space="preserve"> and each Unitholder is bound by its provisions and authorises and requires the Depositary and the </w:t>
      </w:r>
      <w:r w:rsidR="00B21EE2">
        <w:t>Manager</w:t>
      </w:r>
      <w:r w:rsidRPr="009F4300">
        <w:t xml:space="preserve"> to do all such acts and things as this </w:t>
      </w:r>
      <w:r w:rsidR="00B21EE2">
        <w:t>Deed</w:t>
      </w:r>
      <w:r w:rsidRPr="009F4300">
        <w:t xml:space="preserve"> may authorise or require them to do.</w:t>
      </w:r>
    </w:p>
    <w:p w:rsidRPr="009F4300" w:rsidR="00F238C5" w:rsidP="00F238C5" w:rsidRDefault="00B21EE2" w14:paraId="6D65F015" w14:textId="569A96F3">
      <w:pPr>
        <w:pStyle w:val="Heading1"/>
      </w:pPr>
      <w:bookmarkStart w:name="_Toc179391836" w:id="53"/>
      <w:r>
        <w:lastRenderedPageBreak/>
        <w:t>Manager</w:t>
      </w:r>
      <w:bookmarkEnd w:id="53"/>
      <w:r w:rsidRPr="009F4300" w:rsidR="001F22F9">
        <w:t xml:space="preserve"> </w:t>
      </w:r>
      <w:bookmarkStart w:name="_NN954" w:id="54"/>
      <w:bookmarkEnd w:id="54"/>
    </w:p>
    <w:p w:rsidRPr="009F4300" w:rsidR="00F238C5" w:rsidP="00F238C5" w:rsidRDefault="00F238C5" w14:paraId="7AB837DB" w14:textId="7566D08E">
      <w:pPr>
        <w:pStyle w:val="ssNoHeading2"/>
      </w:pPr>
      <w:r w:rsidRPr="009F4300">
        <w:t xml:space="preserve">The </w:t>
      </w:r>
      <w:r w:rsidR="00B21EE2">
        <w:t>Manager</w:t>
      </w:r>
      <w:r w:rsidRPr="009F4300">
        <w:t xml:space="preserve"> is the operator of the Scheme for the purpose of </w:t>
      </w:r>
      <w:r w:rsidR="00881E02">
        <w:t>the Act</w:t>
      </w:r>
      <w:r w:rsidRPr="009F4300">
        <w:t>.</w:t>
      </w:r>
    </w:p>
    <w:p w:rsidRPr="009F4300" w:rsidR="00F238C5" w:rsidP="00F238C5" w:rsidRDefault="00F238C5" w14:paraId="0843D1DC" w14:textId="380ECB9B">
      <w:pPr>
        <w:pStyle w:val="ssNoHeading2"/>
      </w:pPr>
      <w:r w:rsidRPr="009F4300">
        <w:t xml:space="preserve">The Unitholders authorise the </w:t>
      </w:r>
      <w:r w:rsidR="00B21EE2">
        <w:t>Manager</w:t>
      </w:r>
      <w:r w:rsidRPr="009F4300">
        <w:t>:</w:t>
      </w:r>
    </w:p>
    <w:p w:rsidRPr="009F4300" w:rsidR="00F238C5" w:rsidP="00F238C5" w:rsidRDefault="00F238C5" w14:paraId="2CD69DCB" w14:textId="0673B05A">
      <w:pPr>
        <w:pStyle w:val="ssNoHeading3"/>
      </w:pPr>
      <w:r w:rsidRPr="009F4300">
        <w:t>to acquire, manage and dispose of the property which is subject to the Scheme from time to time; and</w:t>
      </w:r>
    </w:p>
    <w:p w:rsidRPr="009F4300" w:rsidR="00F238C5" w:rsidP="00F238C5" w:rsidRDefault="00F238C5" w14:paraId="4070496A" w14:textId="7A0010AA">
      <w:pPr>
        <w:pStyle w:val="ssNoHeading3"/>
      </w:pPr>
      <w:r w:rsidRPr="009F4300">
        <w:t>to enter into contracts</w:t>
      </w:r>
      <w:r w:rsidR="00881E02">
        <w:t xml:space="preserve"> (being Authorised Contracts)</w:t>
      </w:r>
      <w:r w:rsidRPr="009F4300">
        <w:t xml:space="preserve"> which are binding on Unitholders for the purposes of, or in connection with, the acquisition, management and/or disposal of any property which is subject to the Scheme from time to time.</w:t>
      </w:r>
    </w:p>
    <w:p w:rsidRPr="009F4300" w:rsidR="00F238C5" w:rsidP="00F238C5" w:rsidRDefault="001F22F9" w14:paraId="2EBD4B17" w14:textId="7854B3AB">
      <w:pPr>
        <w:pStyle w:val="Heading1"/>
        <w:rPr>
          <w:b w:val="0"/>
          <w:bCs w:val="0"/>
          <w:u w:val="none"/>
        </w:rPr>
      </w:pPr>
      <w:bookmarkStart w:name="_Toc179391837" w:id="55"/>
      <w:r w:rsidRPr="009F4300">
        <w:t>Depositary</w:t>
      </w:r>
      <w:bookmarkStart w:name="_NN955" w:id="56"/>
      <w:bookmarkEnd w:id="56"/>
      <w:r w:rsidRPr="00237770" w:rsidR="00250312">
        <w:rPr>
          <w:rStyle w:val="EndnoteReference"/>
          <w:b w:val="0"/>
          <w:bCs w:val="0"/>
          <w:u w:val="none"/>
        </w:rPr>
        <w:endnoteReference w:id="12"/>
      </w:r>
      <w:bookmarkEnd w:id="55"/>
    </w:p>
    <w:p w:rsidR="00F238C5" w:rsidP="00881E02" w:rsidRDefault="00F238C5" w14:paraId="2EF67431" w14:textId="751227B2">
      <w:pPr>
        <w:pStyle w:val="ssNoHeading2"/>
      </w:pPr>
      <w:r w:rsidRPr="009F4300">
        <w:t xml:space="preserve">The Depositary agrees to act as depositary of the Scheme under the Regulations on the terms of the draft agreement initialled by the Depositary and the </w:t>
      </w:r>
      <w:r w:rsidR="00B21EE2">
        <w:t>Manager</w:t>
      </w:r>
      <w:r w:rsidRPr="009F4300">
        <w:t xml:space="preserve"> for the purpose of identification.</w:t>
      </w:r>
    </w:p>
    <w:p w:rsidR="00881E02" w:rsidP="001E0B2F" w:rsidRDefault="00881E02" w14:paraId="3CCF56E1" w14:textId="3E1244C6">
      <w:pPr>
        <w:pStyle w:val="ssNoHeading2"/>
        <w:numPr>
          <w:ilvl w:val="2"/>
          <w:numId w:val="76"/>
        </w:numPr>
      </w:pPr>
      <w:r>
        <w:t xml:space="preserve">The Manager, on the Scheme’s </w:t>
      </w:r>
      <w:r w:rsidR="00AA61D8">
        <w:t>[</w:t>
      </w:r>
      <w:r>
        <w:t>or a Sub-Fund’s</w:t>
      </w:r>
      <w:r w:rsidR="00AA61D8">
        <w:t>]</w:t>
      </w:r>
      <w:r w:rsidRPr="002B14E8" w:rsidR="00AA61D8">
        <w:rPr>
          <w:vertAlign w:val="superscript"/>
        </w:rPr>
        <w:t>2</w:t>
      </w:r>
      <w:r>
        <w:t xml:space="preserve"> behalf, may agree the transfer and reuse of the Scheme’s </w:t>
      </w:r>
      <w:r w:rsidR="00AA61D8">
        <w:t>[</w:t>
      </w:r>
      <w:r>
        <w:t>or such Sub-Fund’s (as applicable)</w:t>
      </w:r>
      <w:r w:rsidR="00AA61D8">
        <w:t>]</w:t>
      </w:r>
      <w:r w:rsidRPr="002B14E8" w:rsidR="00AA61D8">
        <w:rPr>
          <w:vertAlign w:val="superscript"/>
        </w:rPr>
        <w:t>2</w:t>
      </w:r>
      <w:r>
        <w:t xml:space="preserve"> assets on such terms as the Manager may from time to time determine.</w:t>
      </w:r>
    </w:p>
    <w:p w:rsidRPr="009F4300" w:rsidR="00881E02" w:rsidP="001E0B2F" w:rsidRDefault="00881E02" w14:paraId="5489D278" w14:textId="780D572E">
      <w:pPr>
        <w:pStyle w:val="ssNoHeading2"/>
        <w:numPr>
          <w:ilvl w:val="2"/>
          <w:numId w:val="76"/>
        </w:numPr>
      </w:pPr>
      <w:r>
        <w:t xml:space="preserve">Under the terms of its appointment, the Depositary may discharge any of its obligations to the extent permitted by applicable laws, rules and/or regulations.  Without limitation, where the law of a third country requires certain financial instruments to be held in custody by a local entity and there are no local entities that satisfy the delegation requirements set out in the AIFMD Regulations, the terms of appointment of the Depositary may provide that the Depositary may discharge itself of liability and is not required to return a financial instrument of the identical type or the corresponding amount to the Scheme </w:t>
      </w:r>
      <w:r w:rsidR="00AA61D8">
        <w:t>[</w:t>
      </w:r>
      <w:r>
        <w:t>or the relevant Sub-Fund</w:t>
      </w:r>
      <w:r w:rsidR="00AA61D8">
        <w:t>]</w:t>
      </w:r>
      <w:r w:rsidRPr="002B14E8" w:rsidR="00AA61D8">
        <w:rPr>
          <w:vertAlign w:val="superscript"/>
        </w:rPr>
        <w:t>2</w:t>
      </w:r>
      <w:r>
        <w:t xml:space="preserve">, or the Manager acting on behalf of the Scheme </w:t>
      </w:r>
      <w:r w:rsidR="004543A0">
        <w:t>[</w:t>
      </w:r>
      <w:r>
        <w:t>or the relevant Sub-Fund</w:t>
      </w:r>
      <w:r w:rsidR="004543A0">
        <w:t>]</w:t>
      </w:r>
      <w:r w:rsidRPr="002B14E8" w:rsidR="004543A0">
        <w:rPr>
          <w:vertAlign w:val="superscript"/>
        </w:rPr>
        <w:t>2</w:t>
      </w:r>
      <w:r>
        <w:t xml:space="preserve"> provided the requirements of the AIFMD Regulations are satisfied.</w:t>
      </w:r>
    </w:p>
    <w:p w:rsidRPr="009F4300" w:rsidR="00F238C5" w:rsidP="00F238C5" w:rsidRDefault="001F22F9" w14:paraId="3FD4568A" w14:textId="6DB50A3E">
      <w:pPr>
        <w:pStyle w:val="Heading1"/>
      </w:pPr>
      <w:bookmarkStart w:name="_DV_M77" w:id="57"/>
      <w:bookmarkStart w:name="_DV_M78" w:id="58"/>
      <w:bookmarkStart w:name="_DV_M81" w:id="59"/>
      <w:bookmarkStart w:name="_Toc179391838" w:id="60"/>
      <w:bookmarkEnd w:id="57"/>
      <w:bookmarkEnd w:id="58"/>
      <w:bookmarkEnd w:id="59"/>
      <w:r w:rsidRPr="009F4300">
        <w:t>Declaration</w:t>
      </w:r>
      <w:bookmarkStart w:name="_NN956" w:id="61"/>
      <w:bookmarkEnd w:id="61"/>
      <w:bookmarkEnd w:id="60"/>
    </w:p>
    <w:p w:rsidRPr="009F4300" w:rsidR="00F238C5" w:rsidP="001F22F9" w:rsidRDefault="00F238C5" w14:paraId="5008C4B3" w14:textId="7035DCA0">
      <w:pPr>
        <w:pStyle w:val="ssNoHeading2"/>
      </w:pPr>
      <w:r w:rsidRPr="009F4300">
        <w:t>S</w:t>
      </w:r>
      <w:bookmarkStart w:name="_Ref369006935" w:id="62"/>
      <w:r w:rsidRPr="009F4300">
        <w:t xml:space="preserve">ubject to the provisions of this </w:t>
      </w:r>
      <w:r w:rsidR="00B21EE2">
        <w:t>Deed</w:t>
      </w:r>
      <w:r w:rsidRPr="009F4300">
        <w:t xml:space="preserve"> and to all rules made under section 261I of </w:t>
      </w:r>
      <w:r w:rsidR="00881E02">
        <w:t>the Act</w:t>
      </w:r>
      <w:r w:rsidRPr="009F4300">
        <w:t xml:space="preserve"> for the time being currently in force, it is hereby declared </w:t>
      </w:r>
      <w:r w:rsidR="004543A0">
        <w:t>[</w:t>
      </w:r>
      <w:r w:rsidRPr="009F4300">
        <w:t xml:space="preserve">in relation to each </w:t>
      </w:r>
      <w:r w:rsidR="00D30F5C">
        <w:t>Sub-Fund</w:t>
      </w:r>
      <w:r w:rsidR="004543A0">
        <w:t>]</w:t>
      </w:r>
      <w:r w:rsidRPr="002B14E8" w:rsidR="004543A0">
        <w:rPr>
          <w:vertAlign w:val="superscript"/>
        </w:rPr>
        <w:t>2</w:t>
      </w:r>
      <w:r w:rsidRPr="009F4300">
        <w:t xml:space="preserve"> that:</w:t>
      </w:r>
      <w:bookmarkEnd w:id="62"/>
    </w:p>
    <w:p w:rsidRPr="009F4300" w:rsidR="00F238C5" w:rsidP="001F22F9" w:rsidRDefault="00F238C5" w14:paraId="7B6ED553" w14:textId="45308576">
      <w:pPr>
        <w:pStyle w:val="ssNoHeading3"/>
      </w:pPr>
      <w:bookmarkStart w:name="_Ref101932574" w:id="63"/>
      <w:r w:rsidRPr="009F4300">
        <w:t xml:space="preserve">the property of </w:t>
      </w:r>
      <w:r w:rsidR="004543A0">
        <w:t>[the Scheme</w:t>
      </w:r>
      <w:r w:rsidR="00D210CA">
        <w:t xml:space="preserve"> </w:t>
      </w:r>
      <w:r w:rsidR="004543A0">
        <w:t>/</w:t>
      </w:r>
      <w:r w:rsidR="00D210CA">
        <w:t xml:space="preserve"> </w:t>
      </w:r>
      <w:r w:rsidR="004543A0">
        <w:t xml:space="preserve">the </w:t>
      </w:r>
      <w:r w:rsidR="00D30F5C">
        <w:t>Sub-Fund</w:t>
      </w:r>
      <w:r w:rsidR="004543A0">
        <w:t>]</w:t>
      </w:r>
      <w:r w:rsidRPr="002B14E8" w:rsidR="004543A0">
        <w:rPr>
          <w:vertAlign w:val="superscript"/>
        </w:rPr>
        <w:t>2</w:t>
      </w:r>
      <w:r w:rsidRPr="009F4300">
        <w:t xml:space="preserve"> (other than any sum standing to the credit of the distribution account) is held by the Depositary, or to the order of the Depositary, for and on behalf of the Unitholders in </w:t>
      </w:r>
      <w:r w:rsidR="004543A0">
        <w:t>[the Schem</w:t>
      </w:r>
      <w:r w:rsidR="00D210CA">
        <w:t xml:space="preserve">e </w:t>
      </w:r>
      <w:r w:rsidR="004543A0">
        <w:t>/</w:t>
      </w:r>
      <w:r w:rsidR="00D210CA">
        <w:t xml:space="preserve"> </w:t>
      </w:r>
      <w:r w:rsidR="004543A0">
        <w:t>the Sub-Fund]</w:t>
      </w:r>
      <w:r w:rsidRPr="002B14E8" w:rsidR="004543A0">
        <w:rPr>
          <w:vertAlign w:val="superscript"/>
        </w:rPr>
        <w:t>2</w:t>
      </w:r>
      <w:r w:rsidR="004543A0">
        <w:rPr>
          <w:vertAlign w:val="superscript"/>
        </w:rPr>
        <w:t xml:space="preserve"> </w:t>
      </w:r>
      <w:r w:rsidRPr="009F4300">
        <w:t xml:space="preserve">pari passu according to the number of Units held by them or, when more than one Class is in issue in </w:t>
      </w:r>
      <w:r w:rsidR="004543A0">
        <w:t>[the Scheme</w:t>
      </w:r>
      <w:r w:rsidR="00D210CA">
        <w:t xml:space="preserve"> </w:t>
      </w:r>
      <w:r w:rsidR="004543A0">
        <w:t>/</w:t>
      </w:r>
      <w:r w:rsidR="00D210CA">
        <w:t xml:space="preserve"> </w:t>
      </w:r>
      <w:r w:rsidR="004543A0">
        <w:t>the Sub-Fund]</w:t>
      </w:r>
      <w:r w:rsidRPr="002B14E8" w:rsidR="004543A0">
        <w:rPr>
          <w:vertAlign w:val="superscript"/>
        </w:rPr>
        <w:t>2</w:t>
      </w:r>
      <w:r w:rsidRPr="009F4300">
        <w:t xml:space="preserve">, according to the proportionate interests determined in accordance with </w:t>
      </w:r>
      <w:r w:rsidRPr="00493145" w:rsidR="000B5792">
        <w:fldChar w:fldCharType="begin"/>
      </w:r>
      <w:r w:rsidRPr="00493145" w:rsidR="000B5792">
        <w:instrText xml:space="preserve"> REF _Ref117249360 \n \h </w:instrText>
      </w:r>
      <w:r w:rsidRPr="00493145" w:rsidR="00254BD0">
        <w:instrText xml:space="preserve"> \* MERGEFORMAT </w:instrText>
      </w:r>
      <w:r w:rsidRPr="00493145" w:rsidR="000B5792">
        <w:fldChar w:fldCharType="separate"/>
      </w:r>
      <w:r w:rsidR="00663122">
        <w:rPr>
          <w:cs/>
        </w:rPr>
        <w:t>‎</w:t>
      </w:r>
      <w:r w:rsidR="00663122">
        <w:t>Part 4</w:t>
      </w:r>
      <w:r w:rsidRPr="00493145" w:rsidR="000B5792">
        <w:fldChar w:fldCharType="end"/>
      </w:r>
      <w:r w:rsidRPr="009F4300">
        <w:t xml:space="preserve"> of the Schedule;</w:t>
      </w:r>
      <w:bookmarkEnd w:id="63"/>
      <w:r w:rsidR="00250312">
        <w:rPr>
          <w:rStyle w:val="EndnoteReference"/>
        </w:rPr>
        <w:endnoteReference w:id="13"/>
      </w:r>
    </w:p>
    <w:p w:rsidRPr="009F4300" w:rsidR="00F238C5" w:rsidP="001F22F9" w:rsidRDefault="00F238C5" w14:paraId="65FACA3C" w14:textId="31CB2C0F">
      <w:pPr>
        <w:pStyle w:val="ssNoHeading3"/>
      </w:pPr>
      <w:r w:rsidRPr="009F4300">
        <w:t xml:space="preserve">the sums standing to the credit of the distribution account in respect of </w:t>
      </w:r>
      <w:r w:rsidR="004543A0">
        <w:t>[the Scheme</w:t>
      </w:r>
      <w:r w:rsidR="00D210CA">
        <w:t xml:space="preserve"> </w:t>
      </w:r>
      <w:r w:rsidR="004543A0">
        <w:t>/</w:t>
      </w:r>
      <w:r w:rsidR="00D210CA">
        <w:t xml:space="preserve"> </w:t>
      </w:r>
      <w:r w:rsidR="004543A0">
        <w:t>the Sub-Fund]</w:t>
      </w:r>
      <w:r w:rsidRPr="002B14E8" w:rsidR="004543A0">
        <w:rPr>
          <w:vertAlign w:val="superscript"/>
        </w:rPr>
        <w:t>2</w:t>
      </w:r>
      <w:r w:rsidR="004543A0">
        <w:rPr>
          <w:vertAlign w:val="superscript"/>
        </w:rPr>
        <w:t xml:space="preserve"> </w:t>
      </w:r>
      <w:r w:rsidRPr="009F4300">
        <w:t>are held by the Depositary to distribute or apply them in accordance with the Regulations; and</w:t>
      </w:r>
    </w:p>
    <w:p w:rsidRPr="00254BD0" w:rsidR="00F238C5" w:rsidP="001E0B2F" w:rsidRDefault="00254BD0" w14:paraId="612D4E04" w14:textId="04A46A88">
      <w:pPr>
        <w:pStyle w:val="ssNoHeading3"/>
        <w:numPr>
          <w:ilvl w:val="3"/>
          <w:numId w:val="76"/>
        </w:numPr>
      </w:pPr>
      <w:bookmarkStart w:name="_Ref353977356" w:id="64"/>
      <w:r>
        <w:t xml:space="preserve">the assets of </w:t>
      </w:r>
      <w:r w:rsidR="004543A0">
        <w:t>[the Scheme</w:t>
      </w:r>
      <w:r w:rsidR="00D210CA">
        <w:t xml:space="preserve"> </w:t>
      </w:r>
      <w:r w:rsidR="004543A0">
        <w:t>/</w:t>
      </w:r>
      <w:r w:rsidR="00D210CA">
        <w:t xml:space="preserve"> </w:t>
      </w:r>
      <w:r w:rsidR="004543A0">
        <w:t xml:space="preserve">each </w:t>
      </w:r>
      <w:r>
        <w:t>Sub-Fund</w:t>
      </w:r>
      <w:r w:rsidR="004543A0">
        <w:t>]</w:t>
      </w:r>
      <w:r w:rsidRPr="002B14E8" w:rsidR="004543A0">
        <w:rPr>
          <w:vertAlign w:val="superscript"/>
        </w:rPr>
        <w:t>2</w:t>
      </w:r>
      <w:r w:rsidR="004543A0">
        <w:rPr>
          <w:vertAlign w:val="superscript"/>
        </w:rPr>
        <w:t xml:space="preserve"> </w:t>
      </w:r>
      <w:r>
        <w:t xml:space="preserve"> will be beneficially owned as tenants in common by the Unitholders </w:t>
      </w:r>
      <w:r w:rsidR="004543A0">
        <w:t>[</w:t>
      </w:r>
      <w:r>
        <w:t>of the relevant Sub-Fund</w:t>
      </w:r>
      <w:r w:rsidR="004543A0">
        <w:t>]</w:t>
      </w:r>
      <w:r w:rsidRPr="004543A0" w:rsidR="004543A0">
        <w:rPr>
          <w:vertAlign w:val="superscript"/>
        </w:rPr>
        <w:t xml:space="preserve"> </w:t>
      </w:r>
      <w:r w:rsidRPr="002B14E8" w:rsidR="004543A0">
        <w:rPr>
          <w:vertAlign w:val="superscript"/>
        </w:rPr>
        <w:t>2</w:t>
      </w:r>
      <w:r>
        <w:t xml:space="preserve"> and may not be used to discharge any liabilities of, or any claim against, any person other than the Unitholders </w:t>
      </w:r>
      <w:r w:rsidR="004543A0">
        <w:t>[</w:t>
      </w:r>
      <w:r>
        <w:t>of that Sub-Fund</w:t>
      </w:r>
      <w:r w:rsidR="004543A0">
        <w:t>]</w:t>
      </w:r>
      <w:r w:rsidRPr="002B14E8" w:rsidR="004543A0">
        <w:rPr>
          <w:vertAlign w:val="superscript"/>
        </w:rPr>
        <w:t>2</w:t>
      </w:r>
      <w:r w:rsidRPr="009F4300" w:rsidR="00F238C5">
        <w:t>.</w:t>
      </w:r>
      <w:r w:rsidR="00250312">
        <w:rPr>
          <w:rStyle w:val="EndnoteReference"/>
        </w:rPr>
        <w:endnoteReference w:id="14"/>
      </w:r>
    </w:p>
    <w:p w:rsidRPr="003F3F0B" w:rsidR="003F3F0B" w:rsidP="003F3F0B" w:rsidRDefault="005A54C9" w14:paraId="0650C210" w14:textId="196291FC">
      <w:pPr>
        <w:pStyle w:val="Heading1"/>
      </w:pPr>
      <w:bookmarkStart w:name="_Toc179391839" w:id="65"/>
      <w:r>
        <w:lastRenderedPageBreak/>
        <w:t>T</w:t>
      </w:r>
      <w:r w:rsidRPr="009F4300" w:rsidR="001F22F9">
        <w:t xml:space="preserve">he </w:t>
      </w:r>
      <w:r w:rsidR="003F3F0B">
        <w:t>Regulations</w:t>
      </w:r>
      <w:bookmarkEnd w:id="65"/>
    </w:p>
    <w:p w:rsidR="003F3F0B" w:rsidP="003F3F0B" w:rsidRDefault="003F3F0B" w14:paraId="741E1ABF" w14:textId="744036C4">
      <w:pPr>
        <w:pStyle w:val="Heading2"/>
        <w:rPr>
          <w:b w:val="0"/>
          <w:bCs w:val="0"/>
        </w:rPr>
      </w:pPr>
      <w:bookmarkStart w:name="_Hlk153974803" w:id="66"/>
      <w:r w:rsidRPr="003F3F0B">
        <w:rPr>
          <w:b w:val="0"/>
          <w:bCs w:val="0"/>
        </w:rPr>
        <w:t>In the event of any conflict arising between any provision of this Deed and the</w:t>
      </w:r>
      <w:r>
        <w:rPr>
          <w:b w:val="0"/>
          <w:bCs w:val="0"/>
        </w:rPr>
        <w:t xml:space="preserve"> </w:t>
      </w:r>
      <w:r w:rsidRPr="003F3F0B">
        <w:rPr>
          <w:b w:val="0"/>
          <w:bCs w:val="0"/>
        </w:rPr>
        <w:t>Regulations, the Regulations shall prevail and this Deed shall be construed and shall take</w:t>
      </w:r>
      <w:r>
        <w:rPr>
          <w:b w:val="0"/>
          <w:bCs w:val="0"/>
        </w:rPr>
        <w:t xml:space="preserve"> effect accordingly.</w:t>
      </w:r>
    </w:p>
    <w:p w:rsidR="00254BD0" w:rsidP="006F7E70" w:rsidRDefault="00254BD0" w14:paraId="265BECE6" w14:textId="6370E947">
      <w:pPr>
        <w:pStyle w:val="Heading2"/>
      </w:pPr>
      <w:r w:rsidRPr="006F7E70">
        <w:rPr>
          <w:b w:val="0"/>
          <w:bCs w:val="0"/>
        </w:rPr>
        <w:t xml:space="preserve">Relevant </w:t>
      </w:r>
      <w:r w:rsidR="005A54C9">
        <w:rPr>
          <w:b w:val="0"/>
          <w:bCs w:val="0"/>
        </w:rPr>
        <w:t>Regulations</w:t>
      </w:r>
      <w:r w:rsidRPr="006F7E70">
        <w:rPr>
          <w:b w:val="0"/>
          <w:bCs w:val="0"/>
        </w:rPr>
        <w:t xml:space="preserve">, including, for the avoidance of doubt, the COLL Sourcebook and the AIFMD Regulations (as appropriate) shall apply to the </w:t>
      </w:r>
      <w:r w:rsidRPr="006F7E70" w:rsidR="004543A0">
        <w:rPr>
          <w:b w:val="0"/>
          <w:bCs w:val="0"/>
        </w:rPr>
        <w:t>Scheme</w:t>
      </w:r>
      <w:r w:rsidRPr="006F7E70">
        <w:rPr>
          <w:b w:val="0"/>
          <w:bCs w:val="0"/>
        </w:rPr>
        <w:t xml:space="preserve"> </w:t>
      </w:r>
      <w:r w:rsidRPr="006F7E70" w:rsidR="004543A0">
        <w:rPr>
          <w:b w:val="0"/>
          <w:bCs w:val="0"/>
        </w:rPr>
        <w:t>[</w:t>
      </w:r>
      <w:r w:rsidRPr="006F7E70">
        <w:rPr>
          <w:b w:val="0"/>
          <w:bCs w:val="0"/>
        </w:rPr>
        <w:t>and each Sub-Fund</w:t>
      </w:r>
      <w:r w:rsidRPr="006F7E70" w:rsidR="004543A0">
        <w:rPr>
          <w:b w:val="0"/>
          <w:bCs w:val="0"/>
        </w:rPr>
        <w:t>]</w:t>
      </w:r>
      <w:r w:rsidRPr="006F7E70" w:rsidR="004543A0">
        <w:rPr>
          <w:b w:val="0"/>
          <w:bCs w:val="0"/>
          <w:vertAlign w:val="superscript"/>
        </w:rPr>
        <w:t>2</w:t>
      </w:r>
      <w:r w:rsidRPr="006F7E70">
        <w:rPr>
          <w:b w:val="0"/>
          <w:bCs w:val="0"/>
        </w:rPr>
        <w:t xml:space="preserve"> to the extent that each is relevant as if it was reproduced in this Deed save insofar as it is specifically excluded or amended (to the extent permitted in the COLL Sourcebook or the AIFMD Regulations) by the terms of this Deed. In the event of any conflict between this Deed and the </w:t>
      </w:r>
      <w:bookmarkStart w:name="_Hlk117764185" w:id="67"/>
      <w:r w:rsidR="005A54C9">
        <w:rPr>
          <w:b w:val="0"/>
          <w:bCs w:val="0"/>
        </w:rPr>
        <w:t>Regulations</w:t>
      </w:r>
      <w:r w:rsidRPr="006F7E70">
        <w:rPr>
          <w:b w:val="0"/>
          <w:bCs w:val="0"/>
        </w:rPr>
        <w:t xml:space="preserve">, the </w:t>
      </w:r>
      <w:r w:rsidR="005A54C9">
        <w:rPr>
          <w:b w:val="0"/>
          <w:bCs w:val="0"/>
        </w:rPr>
        <w:t>Regulations</w:t>
      </w:r>
      <w:r w:rsidRPr="006F7E70" w:rsidR="005A54C9">
        <w:rPr>
          <w:b w:val="0"/>
          <w:bCs w:val="0"/>
        </w:rPr>
        <w:t xml:space="preserve"> </w:t>
      </w:r>
      <w:r w:rsidRPr="006F7E70">
        <w:rPr>
          <w:b w:val="0"/>
          <w:bCs w:val="0"/>
        </w:rPr>
        <w:t>shall prevail.</w:t>
      </w:r>
      <w:bookmarkEnd w:id="67"/>
    </w:p>
    <w:p w:rsidRPr="009F4300" w:rsidR="00F238C5" w:rsidP="00F238C5" w:rsidRDefault="001F22F9" w14:paraId="3784EAF0" w14:textId="168BFA98">
      <w:pPr>
        <w:pStyle w:val="Heading1"/>
        <w:rPr>
          <w:u w:val="none"/>
        </w:rPr>
      </w:pPr>
      <w:bookmarkStart w:name="_Toc179391840" w:id="68"/>
      <w:bookmarkEnd w:id="66"/>
      <w:r w:rsidRPr="009F4300">
        <w:t xml:space="preserve">Powers of </w:t>
      </w:r>
      <w:r w:rsidR="00B21EE2">
        <w:t>Manager</w:t>
      </w:r>
      <w:r w:rsidRPr="009F4300">
        <w:t xml:space="preserve"> </w:t>
      </w:r>
      <w:r w:rsidR="0092576C">
        <w:t>a</w:t>
      </w:r>
      <w:r w:rsidRPr="009F4300">
        <w:t>nd Depositary</w:t>
      </w:r>
      <w:bookmarkStart w:name="_NN958" w:id="69"/>
      <w:bookmarkEnd w:id="69"/>
      <w:r w:rsidRPr="00237770" w:rsidR="0093511B">
        <w:rPr>
          <w:rStyle w:val="EndnoteReference"/>
          <w:b w:val="0"/>
          <w:bCs w:val="0"/>
          <w:u w:val="none"/>
        </w:rPr>
        <w:endnoteReference w:id="15"/>
      </w:r>
      <w:bookmarkEnd w:id="68"/>
    </w:p>
    <w:p w:rsidRPr="009F4300" w:rsidR="00F238C5" w:rsidP="00F238C5" w:rsidRDefault="00F238C5" w14:paraId="0135C625" w14:textId="0ABD84B9">
      <w:pPr>
        <w:pStyle w:val="ssNoHeading2"/>
      </w:pPr>
      <w:r w:rsidRPr="009F4300">
        <w:t xml:space="preserve">If, and to the extent, that the Regulations permit (or would permit if this </w:t>
      </w:r>
      <w:r w:rsidR="00B21EE2">
        <w:t>Deed</w:t>
      </w:r>
      <w:r w:rsidRPr="009F4300">
        <w:t xml:space="preserve"> contained the appropriate authority or imposed the relevant duty) the doing or omission of any act or thing in relation to the Scheme, (including exercising any powers of delegation) it is hereby declared that the </w:t>
      </w:r>
      <w:r w:rsidR="00B21EE2">
        <w:t>Manager</w:t>
      </w:r>
      <w:r w:rsidRPr="009F4300">
        <w:t xml:space="preserve"> and the Depositary (as appropriate) shall have express power under this </w:t>
      </w:r>
      <w:r w:rsidR="00B21EE2">
        <w:t>Deed</w:t>
      </w:r>
      <w:r w:rsidRPr="009F4300">
        <w:t xml:space="preserve"> to do or omit to do any such act or thing in accordance with the Regulations as if this </w:t>
      </w:r>
      <w:r w:rsidR="00B21EE2">
        <w:t>Deed</w:t>
      </w:r>
      <w:r w:rsidRPr="009F4300">
        <w:t xml:space="preserve"> contained the appropriate authority or imposed the relevant duty.</w:t>
      </w:r>
    </w:p>
    <w:p w:rsidRPr="009F4300" w:rsidR="00F238C5" w:rsidP="00F238C5" w:rsidRDefault="00F238C5" w14:paraId="06FF1B76" w14:textId="596C2764">
      <w:pPr>
        <w:pStyle w:val="ssNoHeading2"/>
      </w:pPr>
      <w:bookmarkStart w:name="_Ref376767832" w:id="70"/>
      <w:r w:rsidRPr="009F4300">
        <w:t xml:space="preserve">The </w:t>
      </w:r>
      <w:r w:rsidR="00B21EE2">
        <w:t>Manager</w:t>
      </w:r>
      <w:r w:rsidRPr="009F4300">
        <w:t xml:space="preserve"> may in relation to</w:t>
      </w:r>
      <w:r w:rsidR="004543A0">
        <w:t xml:space="preserve"> [the Scheme</w:t>
      </w:r>
      <w:r w:rsidR="00D210CA">
        <w:t xml:space="preserve"> </w:t>
      </w:r>
      <w:r w:rsidR="004543A0">
        <w:t>/</w:t>
      </w:r>
      <w:r w:rsidR="00D210CA">
        <w:t xml:space="preserve"> </w:t>
      </w:r>
      <w:r w:rsidRPr="009F4300">
        <w:t xml:space="preserve">each </w:t>
      </w:r>
      <w:r w:rsidR="00D30F5C">
        <w:t>Sub-Fund</w:t>
      </w:r>
      <w:r w:rsidR="004543A0">
        <w:t>]</w:t>
      </w:r>
      <w:r w:rsidRPr="002B14E8" w:rsidR="004543A0">
        <w:rPr>
          <w:vertAlign w:val="superscript"/>
        </w:rPr>
        <w:t>2</w:t>
      </w:r>
      <w:r w:rsidRPr="009F4300">
        <w:t xml:space="preserve"> and on behalf of its Unitholders:</w:t>
      </w:r>
      <w:bookmarkEnd w:id="70"/>
    </w:p>
    <w:p w:rsidRPr="009F4300" w:rsidR="00F238C5" w:rsidP="00F238C5" w:rsidRDefault="00F238C5" w14:paraId="03CD432E" w14:textId="6ED45ED3">
      <w:pPr>
        <w:pStyle w:val="ssNoHeading3"/>
      </w:pPr>
      <w:bookmarkStart w:name="_Ref378584756" w:id="71"/>
      <w:r w:rsidRPr="009F4300">
        <w:t>exercise rights under the Authorised Contracts (to acquire, manage and dispose of Scheme Property);</w:t>
      </w:r>
      <w:bookmarkEnd w:id="71"/>
    </w:p>
    <w:p w:rsidRPr="009F4300" w:rsidR="00F238C5" w:rsidP="00F238C5" w:rsidRDefault="00F238C5" w14:paraId="7496FB5C" w14:textId="05C207F0">
      <w:pPr>
        <w:pStyle w:val="ssNoHeading3"/>
      </w:pPr>
      <w:r w:rsidRPr="009F4300">
        <w:t>bring and defend proceedings for the resolution of any matter relating to an Authorised Contract; and</w:t>
      </w:r>
    </w:p>
    <w:p w:rsidRPr="009F4300" w:rsidR="00F238C5" w:rsidP="00F238C5" w:rsidRDefault="00F238C5" w14:paraId="5F35F118" w14:textId="300BC987">
      <w:pPr>
        <w:pStyle w:val="ssNoHeading3"/>
      </w:pPr>
      <w:r w:rsidRPr="009F4300">
        <w:t>take action in relation to the enforcement of any judgment given in such proceedings.</w:t>
      </w:r>
    </w:p>
    <w:p w:rsidRPr="009F4300" w:rsidR="00F238C5" w:rsidP="00F238C5" w:rsidRDefault="00F238C5" w14:paraId="336F00E8" w14:textId="5B5481F9">
      <w:pPr>
        <w:pStyle w:val="ssNoHeading2"/>
      </w:pPr>
      <w:r w:rsidRPr="009F4300">
        <w:t xml:space="preserve">The Unitholders may not themselves do any of the things mentioned in </w:t>
      </w:r>
      <w:r w:rsidR="00314A95">
        <w:rPr>
          <w:bCs w:val="0"/>
        </w:rPr>
        <w:t>C</w:t>
      </w:r>
      <w:r w:rsidRPr="009F4300">
        <w:rPr>
          <w:bCs w:val="0"/>
        </w:rPr>
        <w:t xml:space="preserve">lause </w:t>
      </w:r>
      <w:r w:rsidRPr="009F4300">
        <w:rPr>
          <w:bCs w:val="0"/>
        </w:rPr>
        <w:fldChar w:fldCharType="begin"/>
      </w:r>
      <w:r w:rsidRPr="009F4300">
        <w:rPr>
          <w:bCs w:val="0"/>
        </w:rPr>
        <w:instrText xml:space="preserve"> REF _Ref376767832 \r \h  \* MERGEFORMAT </w:instrText>
      </w:r>
      <w:r w:rsidRPr="009F4300">
        <w:rPr>
          <w:bCs w:val="0"/>
        </w:rPr>
      </w:r>
      <w:r w:rsidRPr="009F4300">
        <w:rPr>
          <w:bCs w:val="0"/>
        </w:rPr>
        <w:fldChar w:fldCharType="separate"/>
      </w:r>
      <w:r w:rsidR="00663122">
        <w:rPr>
          <w:bCs w:val="0"/>
          <w:cs/>
        </w:rPr>
        <w:t>‎</w:t>
      </w:r>
      <w:r w:rsidR="00663122">
        <w:rPr>
          <w:bCs w:val="0"/>
        </w:rPr>
        <w:t>11.2</w:t>
      </w:r>
      <w:r w:rsidRPr="009F4300">
        <w:rPr>
          <w:bCs w:val="0"/>
        </w:rPr>
        <w:fldChar w:fldCharType="end"/>
      </w:r>
      <w:r w:rsidRPr="009F4300">
        <w:t xml:space="preserve">, but this does not affect their rights as against the </w:t>
      </w:r>
      <w:r w:rsidR="00B21EE2">
        <w:t>Manager</w:t>
      </w:r>
      <w:r w:rsidRPr="009F4300">
        <w:t>.</w:t>
      </w:r>
    </w:p>
    <w:p w:rsidRPr="009F4300" w:rsidR="00F238C5" w:rsidP="00F238C5" w:rsidRDefault="00F238C5" w14:paraId="4482A04B" w14:textId="5B8A8516">
      <w:pPr>
        <w:pStyle w:val="ssNoHeading2"/>
      </w:pPr>
      <w:r w:rsidRPr="009F4300">
        <w:t xml:space="preserve">A person who enters into a contract which purports to be an Authorised Contract is deemed to have actual knowledge of the scope of the authority given to the </w:t>
      </w:r>
      <w:r w:rsidR="00B21EE2">
        <w:t>Manager</w:t>
      </w:r>
      <w:r w:rsidRPr="009F4300">
        <w:t xml:space="preserve"> by this </w:t>
      </w:r>
      <w:r w:rsidR="00B21EE2">
        <w:t>Deed</w:t>
      </w:r>
      <w:r w:rsidRPr="009F4300">
        <w:t>.</w:t>
      </w:r>
    </w:p>
    <w:p w:rsidRPr="009F4300" w:rsidR="00F238C5" w:rsidP="00F238C5" w:rsidRDefault="00F238C5" w14:paraId="624C392E" w14:textId="36EE3EDC">
      <w:pPr>
        <w:pStyle w:val="ssNoHeading2"/>
      </w:pPr>
      <w:r w:rsidRPr="009F4300">
        <w:t xml:space="preserve">The validity of an Authorised Contract is not to be called into question on the grounds that a Unitholder lacks capacity to authorise the </w:t>
      </w:r>
      <w:r w:rsidR="00B21EE2">
        <w:t>Manager</w:t>
      </w:r>
      <w:r w:rsidRPr="009F4300">
        <w:t xml:space="preserve"> to enter into such a contract.</w:t>
      </w:r>
    </w:p>
    <w:p w:rsidR="00F238C5" w:rsidP="00F238C5" w:rsidRDefault="00F238C5" w14:paraId="213A950C" w14:textId="4164B02C">
      <w:pPr>
        <w:pStyle w:val="ssNoHeading2"/>
      </w:pPr>
      <w:r w:rsidRPr="009F4300">
        <w:t>An Authorised Contract must make provision for any property which is acquired under or by virtue of the Authorised Contract to be held by or to the order of the Depositary.</w:t>
      </w:r>
    </w:p>
    <w:p w:rsidRPr="009F4300" w:rsidR="00254BD0" w:rsidP="001E0B2F" w:rsidRDefault="00254BD0" w14:paraId="4EC74C9E" w14:textId="283DCF46">
      <w:pPr>
        <w:pStyle w:val="ssNoHeading2"/>
        <w:numPr>
          <w:ilvl w:val="2"/>
          <w:numId w:val="76"/>
        </w:numPr>
      </w:pPr>
      <w:r>
        <w:t xml:space="preserve">Without limitation to the foregoing, the Manager and the Depositary may also release or disclose to Unitholders and prospective investors any information in their possession regarding the Scheme </w:t>
      </w:r>
      <w:r w:rsidR="004543A0">
        <w:t>[</w:t>
      </w:r>
      <w:r>
        <w:t>and/or any Sub-Fund</w:t>
      </w:r>
      <w:r w:rsidR="004543A0">
        <w:t>]</w:t>
      </w:r>
      <w:r w:rsidRPr="002B14E8" w:rsidR="004543A0">
        <w:rPr>
          <w:vertAlign w:val="superscript"/>
        </w:rPr>
        <w:t>2</w:t>
      </w:r>
      <w:r>
        <w:t xml:space="preserve"> and its affairs if lawfully required to do so under any applicable laws, rules and/or regulations, in such manner, at such times and on such terms as the Manager or the Depositary may from time to time respectively determine.</w:t>
      </w:r>
    </w:p>
    <w:p w:rsidRPr="009F4300" w:rsidR="00F238C5" w:rsidP="00061A98" w:rsidRDefault="001F22F9" w14:paraId="5F74A016" w14:textId="6E1C4C6F">
      <w:pPr>
        <w:pStyle w:val="Heading1"/>
        <w:rPr>
          <w:b w:val="0"/>
          <w:bCs w:val="0"/>
          <w:u w:val="none"/>
        </w:rPr>
      </w:pPr>
      <w:bookmarkStart w:name="_DV_M83" w:id="72"/>
      <w:bookmarkStart w:name="_DV_M84" w:id="73"/>
      <w:bookmarkStart w:name="_Ref352747278" w:id="74"/>
      <w:bookmarkStart w:name="_Ref353288270" w:id="75"/>
      <w:bookmarkStart w:name="_Toc179391841" w:id="76"/>
      <w:bookmarkEnd w:id="64"/>
      <w:bookmarkEnd w:id="72"/>
      <w:bookmarkEnd w:id="73"/>
      <w:r w:rsidRPr="009F4300">
        <w:lastRenderedPageBreak/>
        <w:t xml:space="preserve">Eligibility </w:t>
      </w:r>
      <w:r w:rsidRPr="009F4300" w:rsidR="006B40B1">
        <w:t>o</w:t>
      </w:r>
      <w:r w:rsidRPr="009F4300">
        <w:t xml:space="preserve">f </w:t>
      </w:r>
      <w:bookmarkEnd w:id="74"/>
      <w:bookmarkEnd w:id="75"/>
      <w:r w:rsidRPr="009F4300">
        <w:t>Investors</w:t>
      </w:r>
      <w:bookmarkStart w:name="_NN959" w:id="77"/>
      <w:bookmarkEnd w:id="77"/>
      <w:r w:rsidRPr="00BC7FF0" w:rsidR="00BC7FF0">
        <w:rPr>
          <w:rStyle w:val="EndnoteReference"/>
          <w:b w:val="0"/>
          <w:bCs w:val="0"/>
          <w:u w:val="none"/>
        </w:rPr>
        <w:endnoteReference w:id="16"/>
      </w:r>
      <w:bookmarkEnd w:id="76"/>
    </w:p>
    <w:p w:rsidRPr="001405D4" w:rsidR="001405D4" w:rsidP="00061A98" w:rsidRDefault="001405D4" w14:paraId="3DD94C17" w14:textId="5FEC4978">
      <w:pPr>
        <w:pStyle w:val="ssNoHeading2"/>
        <w:keepNext/>
        <w:keepLines/>
        <w:numPr>
          <w:ilvl w:val="0"/>
          <w:numId w:val="0"/>
        </w:numPr>
        <w:ind w:left="709"/>
        <w:rPr>
          <w:b/>
          <w:bCs w:val="0"/>
        </w:rPr>
      </w:pPr>
      <w:bookmarkStart w:name="_Ref382936437" w:id="78"/>
      <w:bookmarkStart w:name="_Ref352746808" w:id="79"/>
      <w:r>
        <w:rPr>
          <w:b/>
          <w:bCs w:val="0"/>
        </w:rPr>
        <w:t>Eligibility condition</w:t>
      </w:r>
    </w:p>
    <w:p w:rsidR="00C80C02" w:rsidP="00C80C02" w:rsidRDefault="001405D4" w14:paraId="0783413D" w14:textId="77777777">
      <w:pPr>
        <w:pStyle w:val="Heading2"/>
        <w:rPr>
          <w:b w:val="0"/>
          <w:bCs w:val="0"/>
        </w:rPr>
      </w:pPr>
      <w:bookmarkStart w:name="_Ref117849022" w:id="80"/>
      <w:r w:rsidRPr="001405D4">
        <w:rPr>
          <w:b w:val="0"/>
          <w:bCs w:val="0"/>
        </w:rPr>
        <w:t>No Units may be issued to anyone other than an Eligible Investor.</w:t>
      </w:r>
      <w:bookmarkEnd w:id="80"/>
    </w:p>
    <w:p w:rsidRPr="00C80C02" w:rsidR="00C80C02" w:rsidP="00C80C02" w:rsidRDefault="00C80C02" w14:paraId="3B044B7B" w14:textId="52854212">
      <w:pPr>
        <w:pStyle w:val="Heading2"/>
      </w:pPr>
      <w:bookmarkStart w:name="_Hlk153975409" w:id="81"/>
      <w:r>
        <w:rPr>
          <w:b w:val="0"/>
          <w:bCs w:val="0"/>
        </w:rPr>
        <w:t>[</w:t>
      </w:r>
      <w:r w:rsidRPr="009A3609">
        <w:rPr>
          <w:b w:val="0"/>
          <w:bCs w:val="0"/>
        </w:rPr>
        <w:t>In addition to the above criteria for eligibility, the ACS Manager will, in accordance with</w:t>
      </w:r>
      <w:r>
        <w:rPr>
          <w:b w:val="0"/>
          <w:bCs w:val="0"/>
        </w:rPr>
        <w:t xml:space="preserve"> </w:t>
      </w:r>
      <w:r w:rsidRPr="009A3609">
        <w:rPr>
          <w:b w:val="0"/>
          <w:bCs w:val="0"/>
        </w:rPr>
        <w:t xml:space="preserve">the requirements in </w:t>
      </w:r>
      <w:r w:rsidR="005A54C9">
        <w:rPr>
          <w:b w:val="0"/>
          <w:bCs w:val="0"/>
        </w:rPr>
        <w:t>the FCA Rules</w:t>
      </w:r>
      <w:r w:rsidRPr="009A3609">
        <w:rPr>
          <w:b w:val="0"/>
          <w:bCs w:val="0"/>
        </w:rPr>
        <w:t>, take reasonable care to</w:t>
      </w:r>
      <w:r>
        <w:rPr>
          <w:b w:val="0"/>
          <w:bCs w:val="0"/>
        </w:rPr>
        <w:t xml:space="preserve"> </w:t>
      </w:r>
      <w:r w:rsidRPr="009A3609">
        <w:rPr>
          <w:b w:val="0"/>
          <w:bCs w:val="0"/>
        </w:rPr>
        <w:t xml:space="preserve">ensure that ownership of Units in any </w:t>
      </w:r>
      <w:r w:rsidR="00726E9D">
        <w:rPr>
          <w:b w:val="0"/>
          <w:bCs w:val="0"/>
        </w:rPr>
        <w:t>[</w:t>
      </w:r>
      <w:r w:rsidRPr="009A3609">
        <w:rPr>
          <w:b w:val="0"/>
          <w:bCs w:val="0"/>
        </w:rPr>
        <w:t>Sub-</w:t>
      </w:r>
      <w:r w:rsidR="00ED1A42">
        <w:rPr>
          <w:b w:val="0"/>
          <w:bCs w:val="0"/>
        </w:rPr>
        <w:t>F</w:t>
      </w:r>
      <w:r w:rsidRPr="009A3609">
        <w:rPr>
          <w:b w:val="0"/>
          <w:bCs w:val="0"/>
        </w:rPr>
        <w:t>und</w:t>
      </w:r>
      <w:r w:rsidR="00726E9D">
        <w:rPr>
          <w:b w:val="0"/>
          <w:bCs w:val="0"/>
        </w:rPr>
        <w:t xml:space="preserve"> or Class] / [Limited Protection LTAF </w:t>
      </w:r>
      <w:r w:rsidRPr="009A3609">
        <w:rPr>
          <w:b w:val="0"/>
          <w:bCs w:val="0"/>
        </w:rPr>
        <w:t>Class</w:t>
      </w:r>
      <w:r w:rsidR="00726E9D">
        <w:rPr>
          <w:b w:val="0"/>
          <w:bCs w:val="0"/>
        </w:rPr>
        <w:t>]</w:t>
      </w:r>
      <w:r w:rsidRPr="009A3609">
        <w:rPr>
          <w:b w:val="0"/>
          <w:bCs w:val="0"/>
        </w:rPr>
        <w:t xml:space="preserve"> of the Scheme is recorded in th</w:t>
      </w:r>
      <w:r>
        <w:rPr>
          <w:b w:val="0"/>
          <w:bCs w:val="0"/>
        </w:rPr>
        <w:t>e register of Unitholders only for a person who is a Limited Protection LTAF Investor.]</w:t>
      </w:r>
      <w:r>
        <w:rPr>
          <w:rStyle w:val="EndnoteReference"/>
          <w:b w:val="0"/>
          <w:bCs w:val="0"/>
        </w:rPr>
        <w:endnoteReference w:id="17"/>
      </w:r>
      <w:bookmarkEnd w:id="81"/>
    </w:p>
    <w:p w:rsidRPr="001405D4" w:rsidR="001405D4" w:rsidP="006F7E70" w:rsidRDefault="001405D4" w14:paraId="60F9963B" w14:textId="21888ACE">
      <w:pPr>
        <w:pStyle w:val="Heading2"/>
        <w:numPr>
          <w:ilvl w:val="0"/>
          <w:numId w:val="0"/>
        </w:numPr>
        <w:ind w:left="709"/>
      </w:pPr>
      <w:bookmarkStart w:name="_Ref376766909" w:id="83"/>
      <w:bookmarkStart w:name="_Ref384198405" w:id="84"/>
      <w:bookmarkEnd w:id="78"/>
      <w:bookmarkEnd w:id="79"/>
      <w:r>
        <w:t>Nominees</w:t>
      </w:r>
    </w:p>
    <w:p w:rsidRPr="009F4300" w:rsidR="00F238C5" w:rsidP="00F238C5" w:rsidRDefault="00F238C5" w14:paraId="3EDD8108" w14:textId="67252498">
      <w:pPr>
        <w:pStyle w:val="ssNoHeading2"/>
      </w:pPr>
      <w:bookmarkStart w:name="_Ref117858814" w:id="85"/>
      <w:r w:rsidRPr="009F4300">
        <w:t>Notwithstanding</w:t>
      </w:r>
      <w:r w:rsidR="001405D4">
        <w:t xml:space="preserve"> </w:t>
      </w:r>
      <w:r w:rsidR="00314A95">
        <w:t>C</w:t>
      </w:r>
      <w:r w:rsidR="001405D4">
        <w:t xml:space="preserve">lause </w:t>
      </w:r>
      <w:r w:rsidR="001405D4">
        <w:fldChar w:fldCharType="begin"/>
      </w:r>
      <w:r w:rsidR="001405D4">
        <w:instrText xml:space="preserve"> REF _Ref117849022 \r \h </w:instrText>
      </w:r>
      <w:r w:rsidR="001405D4">
        <w:fldChar w:fldCharType="separate"/>
      </w:r>
      <w:r w:rsidR="00663122">
        <w:rPr>
          <w:cs/>
        </w:rPr>
        <w:t>‎</w:t>
      </w:r>
      <w:r w:rsidR="00663122">
        <w:t>12.1</w:t>
      </w:r>
      <w:r w:rsidR="001405D4">
        <w:fldChar w:fldCharType="end"/>
      </w:r>
      <w:r w:rsidRPr="009F4300">
        <w:t>, a Unitholder</w:t>
      </w:r>
      <w:r w:rsidR="001405D4">
        <w:t xml:space="preserve"> that is not an Eligible Investor</w:t>
      </w:r>
      <w:r w:rsidRPr="009F4300">
        <w:t xml:space="preserve"> may be a nominee for a person who is  </w:t>
      </w:r>
      <w:r w:rsidR="001405D4">
        <w:t>an Eligible Investor</w:t>
      </w:r>
      <w:r w:rsidRPr="009F4300">
        <w:t xml:space="preserve">.  In that event any reference in this </w:t>
      </w:r>
      <w:r w:rsidR="00B21EE2">
        <w:t>Deed</w:t>
      </w:r>
      <w:r w:rsidRPr="009F4300">
        <w:t xml:space="preserve"> to a Unitholder in relation to:</w:t>
      </w:r>
      <w:bookmarkEnd w:id="83"/>
      <w:bookmarkEnd w:id="84"/>
      <w:bookmarkEnd w:id="85"/>
      <w:r w:rsidRPr="009F4300">
        <w:t xml:space="preserve"> </w:t>
      </w:r>
    </w:p>
    <w:p w:rsidRPr="009F4300" w:rsidR="00F238C5" w:rsidP="00F238C5" w:rsidRDefault="00F238C5" w14:paraId="52ABF07D" w14:textId="1311FA64">
      <w:pPr>
        <w:pStyle w:val="ssNoHeading3"/>
      </w:pPr>
      <w:r w:rsidRPr="009F4300">
        <w:t>any obligation of that Unitholder to give any notification</w:t>
      </w:r>
      <w:r w:rsidR="001405D4">
        <w:t>, execute any agreement, complete any documentation</w:t>
      </w:r>
      <w:r w:rsidRPr="009F4300">
        <w:t xml:space="preserve"> or to provide information; </w:t>
      </w:r>
    </w:p>
    <w:p w:rsidRPr="009F4300" w:rsidR="00F238C5" w:rsidP="00F238C5" w:rsidRDefault="00F238C5" w14:paraId="2935CA6C" w14:textId="265787C2">
      <w:pPr>
        <w:pStyle w:val="ssNoHeading3"/>
      </w:pPr>
      <w:r w:rsidRPr="009F4300">
        <w:t xml:space="preserve">any provision of information on any matter concerning the entitlement of that Unitholder to participate in the Scheme; and </w:t>
      </w:r>
    </w:p>
    <w:p w:rsidRPr="009F4300" w:rsidR="00F238C5" w:rsidP="00F238C5" w:rsidRDefault="00F238C5" w14:paraId="0FA35100" w14:textId="233301F2">
      <w:pPr>
        <w:pStyle w:val="ssNoHeading3"/>
      </w:pPr>
      <w:r w:rsidRPr="009F4300">
        <w:t xml:space="preserve">any information to be provided to or any negotiation or reaching of agreement with any statutory authority, </w:t>
      </w:r>
    </w:p>
    <w:p w:rsidRPr="009F4300" w:rsidR="00F238C5" w:rsidP="00F238C5" w:rsidRDefault="00F238C5" w14:paraId="07673695" w14:textId="4F041C33">
      <w:pPr>
        <w:pStyle w:val="ssPara3"/>
      </w:pPr>
      <w:r w:rsidRPr="009F4300">
        <w:t>shall be regarded as including a reference to the beneficial owner for whom the Units are held (a “</w:t>
      </w:r>
      <w:r w:rsidRPr="001405D4">
        <w:rPr>
          <w:b/>
          <w:bCs/>
        </w:rPr>
        <w:t>Principal</w:t>
      </w:r>
      <w:r w:rsidRPr="009F4300">
        <w:t xml:space="preserve">"). </w:t>
      </w:r>
    </w:p>
    <w:p w:rsidRPr="001405D4" w:rsidR="001405D4" w:rsidP="001405D4" w:rsidRDefault="001405D4" w14:paraId="551A2B0D" w14:textId="420BD617">
      <w:pPr>
        <w:pStyle w:val="ssNoHeading2"/>
        <w:numPr>
          <w:ilvl w:val="0"/>
          <w:numId w:val="0"/>
        </w:numPr>
        <w:ind w:left="709"/>
        <w:rPr>
          <w:b/>
          <w:bCs w:val="0"/>
        </w:rPr>
      </w:pPr>
      <w:r>
        <w:rPr>
          <w:b/>
          <w:bCs w:val="0"/>
        </w:rPr>
        <w:t>The Manager’s Requirements</w:t>
      </w:r>
    </w:p>
    <w:p w:rsidRPr="009F4300" w:rsidR="00F238C5" w:rsidP="00F238C5" w:rsidRDefault="00F238C5" w14:paraId="1DA5B3D8" w14:textId="456608D1">
      <w:pPr>
        <w:pStyle w:val="ssNoHeading2"/>
      </w:pPr>
      <w:r w:rsidRPr="009F4300">
        <w:t xml:space="preserve">In connection with the eligibility condition set out in </w:t>
      </w:r>
      <w:r w:rsidR="00314A95">
        <w:rPr>
          <w:bCs w:val="0"/>
        </w:rPr>
        <w:t>C</w:t>
      </w:r>
      <w:r w:rsidRPr="009F4300">
        <w:rPr>
          <w:bCs w:val="0"/>
        </w:rPr>
        <w:t xml:space="preserve">lause </w:t>
      </w:r>
      <w:r w:rsidR="0041310A">
        <w:rPr>
          <w:bCs w:val="0"/>
        </w:rPr>
        <w:fldChar w:fldCharType="begin"/>
      </w:r>
      <w:r w:rsidR="0041310A">
        <w:rPr>
          <w:bCs w:val="0"/>
        </w:rPr>
        <w:instrText xml:space="preserve"> REF _Ref117849022 \r \h </w:instrText>
      </w:r>
      <w:r w:rsidR="0041310A">
        <w:rPr>
          <w:bCs w:val="0"/>
        </w:rPr>
      </w:r>
      <w:r w:rsidR="0041310A">
        <w:rPr>
          <w:bCs w:val="0"/>
        </w:rPr>
        <w:fldChar w:fldCharType="separate"/>
      </w:r>
      <w:r w:rsidR="00663122">
        <w:rPr>
          <w:bCs w:val="0"/>
          <w:cs/>
        </w:rPr>
        <w:t>‎</w:t>
      </w:r>
      <w:r w:rsidR="00663122">
        <w:rPr>
          <w:bCs w:val="0"/>
        </w:rPr>
        <w:t>12.1</w:t>
      </w:r>
      <w:r w:rsidR="0041310A">
        <w:rPr>
          <w:bCs w:val="0"/>
        </w:rPr>
        <w:fldChar w:fldCharType="end"/>
      </w:r>
      <w:r w:rsidRPr="009F4300">
        <w:t>:</w:t>
      </w:r>
    </w:p>
    <w:p w:rsidRPr="009F4300" w:rsidR="00F238C5" w:rsidP="00F238C5" w:rsidRDefault="00F238C5" w14:paraId="78F12468" w14:textId="520F12B3">
      <w:pPr>
        <w:pStyle w:val="ssNoHeading3"/>
      </w:pPr>
      <w:bookmarkStart w:name="_Ref253746449" w:id="86"/>
      <w:bookmarkStart w:name="_Ref353288353" w:id="87"/>
      <w:bookmarkStart w:name="_Ref117245135" w:id="88"/>
      <w:r w:rsidRPr="009F4300">
        <w:t xml:space="preserve">the </w:t>
      </w:r>
      <w:r w:rsidR="00B21EE2">
        <w:t>Manager</w:t>
      </w:r>
      <w:r w:rsidRPr="009F4300">
        <w:t xml:space="preserve"> shall require the following to be incorporated in, or annexed to, every application for the issue of Units and instrument of transfer of Units</w:t>
      </w:r>
      <w:bookmarkEnd w:id="86"/>
      <w:r w:rsidRPr="009F4300">
        <w:t xml:space="preserve">: a certificate by the applicant or the transferee and where the applicant or transferee is a nominee also by the Principal (in the form set out in the first paragraph of </w:t>
      </w:r>
      <w:r w:rsidRPr="009F4300" w:rsidR="000B5792">
        <w:fldChar w:fldCharType="begin"/>
      </w:r>
      <w:r w:rsidRPr="009F4300" w:rsidR="000B5792">
        <w:instrText xml:space="preserve"> REF _Ref117249383 \n \h </w:instrText>
      </w:r>
      <w:r w:rsidRPr="009F4300" w:rsidR="000B5792">
        <w:fldChar w:fldCharType="separate"/>
      </w:r>
      <w:r w:rsidR="00663122">
        <w:rPr>
          <w:cs/>
        </w:rPr>
        <w:t>‎</w:t>
      </w:r>
      <w:r w:rsidR="00663122">
        <w:t>Part 6</w:t>
      </w:r>
      <w:r w:rsidRPr="009F4300" w:rsidR="000B5792">
        <w:fldChar w:fldCharType="end"/>
      </w:r>
      <w:r w:rsidRPr="009F4300">
        <w:t xml:space="preserve"> of the Schedule or in such other form as the </w:t>
      </w:r>
      <w:r w:rsidR="00B21EE2">
        <w:t>Manager</w:t>
      </w:r>
      <w:r w:rsidRPr="009F4300">
        <w:t xml:space="preserve"> may with the approval of the Depositary prescribe) </w:t>
      </w:r>
      <w:bookmarkEnd w:id="87"/>
      <w:r w:rsidR="001405D4">
        <w:t>to confirm that the applicant or transferee or Principal is an Eligible Investor</w:t>
      </w:r>
      <w:r w:rsidRPr="009F4300">
        <w:t>;</w:t>
      </w:r>
      <w:bookmarkEnd w:id="88"/>
    </w:p>
    <w:p w:rsidRPr="009F4300" w:rsidR="00F238C5" w:rsidP="00F238C5" w:rsidRDefault="00F238C5" w14:paraId="560E99CC" w14:textId="5828880A">
      <w:pPr>
        <w:pStyle w:val="ssNoHeading3"/>
      </w:pPr>
      <w:r w:rsidRPr="009F4300">
        <w:t xml:space="preserve">the </w:t>
      </w:r>
      <w:r w:rsidR="00B21EE2">
        <w:t>Manager</w:t>
      </w:r>
      <w:r w:rsidRPr="009F4300">
        <w:t xml:space="preserve"> may whenever it wants, whether before or after any person shall have been registered as a Unitholder, require that person (or the Principal) to provide to the </w:t>
      </w:r>
      <w:r w:rsidR="00B21EE2">
        <w:t>Manager</w:t>
      </w:r>
      <w:r w:rsidRPr="009F4300">
        <w:t xml:space="preserve"> such further information by way of statutory declaration, certificate or otherwise and any other documents as the </w:t>
      </w:r>
      <w:r w:rsidR="00B21EE2">
        <w:t>Manager</w:t>
      </w:r>
      <w:r w:rsidRPr="009F4300">
        <w:t xml:space="preserve"> may consider necessary to verify that the Unitholder complies or continues to comply with the condition contained in</w:t>
      </w:r>
      <w:r w:rsidRPr="00314A95">
        <w:rPr>
          <w:bCs w:val="0"/>
        </w:rPr>
        <w:t xml:space="preserve"> </w:t>
      </w:r>
      <w:r w:rsidR="00314A95">
        <w:rPr>
          <w:bCs w:val="0"/>
        </w:rPr>
        <w:t>C</w:t>
      </w:r>
      <w:r w:rsidRPr="009F4300">
        <w:rPr>
          <w:bCs w:val="0"/>
        </w:rPr>
        <w:t xml:space="preserve">lause </w:t>
      </w:r>
      <w:r w:rsidR="00DA5FCD">
        <w:rPr>
          <w:bCs w:val="0"/>
        </w:rPr>
        <w:fldChar w:fldCharType="begin"/>
      </w:r>
      <w:r w:rsidR="00DA5FCD">
        <w:rPr>
          <w:bCs w:val="0"/>
        </w:rPr>
        <w:instrText xml:space="preserve"> REF _Ref117849022 \r \h </w:instrText>
      </w:r>
      <w:r w:rsidR="00DA5FCD">
        <w:rPr>
          <w:bCs w:val="0"/>
        </w:rPr>
      </w:r>
      <w:r w:rsidR="00DA5FCD">
        <w:rPr>
          <w:bCs w:val="0"/>
        </w:rPr>
        <w:fldChar w:fldCharType="separate"/>
      </w:r>
      <w:r w:rsidR="00663122">
        <w:rPr>
          <w:bCs w:val="0"/>
          <w:cs/>
        </w:rPr>
        <w:t>‎</w:t>
      </w:r>
      <w:r w:rsidR="00663122">
        <w:rPr>
          <w:bCs w:val="0"/>
        </w:rPr>
        <w:t>12.1</w:t>
      </w:r>
      <w:r w:rsidR="00DA5FCD">
        <w:rPr>
          <w:bCs w:val="0"/>
        </w:rPr>
        <w:fldChar w:fldCharType="end"/>
      </w:r>
      <w:r w:rsidRPr="009F4300">
        <w:rPr>
          <w:bCs w:val="0"/>
          <w:iCs/>
        </w:rPr>
        <w:t>,</w:t>
      </w:r>
      <w:r w:rsidRPr="009F4300">
        <w:rPr>
          <w:iCs/>
        </w:rPr>
        <w:t xml:space="preserve"> </w:t>
      </w:r>
      <w:r w:rsidRPr="009F4300">
        <w:t xml:space="preserve">and if the Unitholder or the Principal fails to comply with a requirement under this paragraph within [14] days after service on it of written notice to do so, the </w:t>
      </w:r>
      <w:r w:rsidR="00B21EE2">
        <w:t>Manager</w:t>
      </w:r>
      <w:r w:rsidRPr="009F4300">
        <w:t xml:space="preserve"> shall be entitled and bound to assume that the conditions are not complied with and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_Ref353288313 \r \h  \* MERGEFORMAT </w:instrText>
      </w:r>
      <w:r w:rsidRPr="009F4300">
        <w:rPr>
          <w:bCs w:val="0"/>
        </w:rPr>
      </w:r>
      <w:r w:rsidRPr="009F4300">
        <w:rPr>
          <w:bCs w:val="0"/>
        </w:rPr>
        <w:fldChar w:fldCharType="separate"/>
      </w:r>
      <w:r w:rsidR="00663122">
        <w:rPr>
          <w:bCs w:val="0"/>
          <w:cs/>
        </w:rPr>
        <w:t>‎</w:t>
      </w:r>
      <w:r w:rsidR="00663122">
        <w:rPr>
          <w:bCs w:val="0"/>
        </w:rPr>
        <w:t>12.6</w:t>
      </w:r>
      <w:r w:rsidRPr="009F4300">
        <w:rPr>
          <w:bCs w:val="0"/>
        </w:rPr>
        <w:fldChar w:fldCharType="end"/>
      </w:r>
      <w:r w:rsidRPr="00314A95">
        <w:rPr>
          <w:bCs w:val="0"/>
        </w:rPr>
        <w:t xml:space="preserve"> </w:t>
      </w:r>
      <w:r w:rsidRPr="009F4300">
        <w:t>shall have effect accordingly;</w:t>
      </w:r>
    </w:p>
    <w:p w:rsidRPr="009F4300" w:rsidR="00F238C5" w:rsidP="00F238C5" w:rsidRDefault="00F238C5" w14:paraId="092F163B" w14:textId="550817EE">
      <w:pPr>
        <w:pStyle w:val="ssNoHeading3"/>
      </w:pPr>
      <w:r w:rsidRPr="009F4300">
        <w:t xml:space="preserve">the </w:t>
      </w:r>
      <w:r w:rsidR="00B21EE2">
        <w:t>Manager</w:t>
      </w:r>
      <w:r w:rsidRPr="009F4300">
        <w:t xml:space="preserve"> may as often as required by any regulator or tax authority inform them of the names of Unitholders and any funds in respect of which, or other beneficial interests on behalf of which, they respectively hold Units, insofar as the information </w:t>
      </w:r>
      <w:r w:rsidRPr="009F4300">
        <w:lastRenderedPageBreak/>
        <w:t xml:space="preserve">is known to the </w:t>
      </w:r>
      <w:r w:rsidR="00B21EE2">
        <w:t>Manager</w:t>
      </w:r>
      <w:r w:rsidRPr="009F4300">
        <w:t xml:space="preserve">, and the numbers of Units from time to time held by or on behalf of the Unitholders, and the funds or other beneficial interests and the dates of acquisition and disposal of the Units or the beneficial interests in them, and generally may give to any regulatory or tax authorities all the information in its power with respect to Unitholders as may assist them to decide whether </w:t>
      </w:r>
      <w:r w:rsidR="001405D4">
        <w:t>a Unitholder is an Eligible Investor</w:t>
      </w:r>
      <w:r w:rsidRPr="009F4300">
        <w:t>; and</w:t>
      </w:r>
    </w:p>
    <w:p w:rsidRPr="009F4300" w:rsidR="00F238C5" w:rsidP="00F238C5" w:rsidRDefault="00F238C5" w14:paraId="6E749738" w14:textId="37FF2053">
      <w:pPr>
        <w:pStyle w:val="ssNoHeading3"/>
      </w:pPr>
      <w:bookmarkStart w:name="_Ref253746326" w:id="89"/>
      <w:r w:rsidRPr="009F4300">
        <w:t>every Unitholder shall, where applicable:</w:t>
      </w:r>
      <w:bookmarkEnd w:id="89"/>
    </w:p>
    <w:p w:rsidRPr="009F4300" w:rsidR="00F238C5" w:rsidP="00F238C5" w:rsidRDefault="00F238C5" w14:paraId="09DA2B9E" w14:textId="314C7C83">
      <w:pPr>
        <w:pStyle w:val="ssNoHeading4"/>
      </w:pPr>
      <w:r w:rsidRPr="009F4300">
        <w:t xml:space="preserve">immediately inform the </w:t>
      </w:r>
      <w:r w:rsidR="00B21EE2">
        <w:t>Manager</w:t>
      </w:r>
      <w:r w:rsidRPr="009F4300">
        <w:t xml:space="preserve"> in writing if there shall be any change in the beneficial interest on behalf of which it holds Units and furnish a certificate as provided for in </w:t>
      </w:r>
      <w:r w:rsidR="00314A95">
        <w:rPr>
          <w:bCs w:val="0"/>
        </w:rPr>
        <w:t>C</w:t>
      </w:r>
      <w:r w:rsidRPr="009F4300">
        <w:rPr>
          <w:bCs w:val="0"/>
        </w:rPr>
        <w:t>lause</w:t>
      </w:r>
      <w:r w:rsidRPr="009F4300">
        <w:rPr>
          <w:b/>
        </w:rPr>
        <w:t xml:space="preserve"> </w:t>
      </w:r>
      <w:r w:rsidRPr="009F4300" w:rsidR="001F22F9">
        <w:rPr>
          <w:b/>
        </w:rPr>
        <w:fldChar w:fldCharType="begin"/>
      </w:r>
      <w:r w:rsidRPr="009F4300" w:rsidR="001F22F9">
        <w:rPr>
          <w:b/>
        </w:rPr>
        <w:instrText xml:space="preserve"> REF _Ref117245135 \w \h  \* MERGEFORMAT </w:instrText>
      </w:r>
      <w:r w:rsidRPr="009F4300" w:rsidR="001F22F9">
        <w:rPr>
          <w:b/>
        </w:rPr>
      </w:r>
      <w:r w:rsidRPr="009F4300" w:rsidR="001F22F9">
        <w:rPr>
          <w:b/>
        </w:rPr>
        <w:fldChar w:fldCharType="separate"/>
      </w:r>
      <w:r w:rsidR="00663122">
        <w:rPr>
          <w:b/>
          <w:cs/>
        </w:rPr>
        <w:t>‎</w:t>
      </w:r>
      <w:r w:rsidRPr="00663122" w:rsidR="00663122">
        <w:rPr>
          <w:bCs w:val="0"/>
        </w:rPr>
        <w:t>12.4(A)</w:t>
      </w:r>
      <w:r w:rsidRPr="009F4300" w:rsidR="001F22F9">
        <w:rPr>
          <w:b/>
        </w:rPr>
        <w:fldChar w:fldCharType="end"/>
      </w:r>
      <w:r w:rsidRPr="009F4300">
        <w:rPr>
          <w:b/>
        </w:rPr>
        <w:t xml:space="preserve"> </w:t>
      </w:r>
      <w:r w:rsidRPr="009F4300">
        <w:t>with respect to the new beneficial interest; and</w:t>
      </w:r>
    </w:p>
    <w:p w:rsidRPr="009F4300" w:rsidR="00F238C5" w:rsidP="00F238C5" w:rsidRDefault="00F238C5" w14:paraId="11C81203" w14:textId="7707CCAD">
      <w:pPr>
        <w:pStyle w:val="ssNoHeading4"/>
      </w:pPr>
      <w:r w:rsidRPr="009F4300">
        <w:t xml:space="preserve">immediately inform the </w:t>
      </w:r>
      <w:r w:rsidR="00B21EE2">
        <w:t>Manager</w:t>
      </w:r>
      <w:r w:rsidRPr="009F4300">
        <w:t xml:space="preserve"> in writing of any material change in the trusts upon which Units are held by it. Any change which affects compliance with the condition in </w:t>
      </w:r>
      <w:r w:rsidR="00314A95">
        <w:rPr>
          <w:bCs w:val="0"/>
        </w:rPr>
        <w:t>C</w:t>
      </w:r>
      <w:r w:rsidRPr="009F4300">
        <w:rPr>
          <w:bCs w:val="0"/>
        </w:rPr>
        <w:t xml:space="preserve">lause </w:t>
      </w:r>
      <w:r w:rsidR="00C51A3E">
        <w:rPr>
          <w:bCs w:val="0"/>
        </w:rPr>
        <w:fldChar w:fldCharType="begin"/>
      </w:r>
      <w:r w:rsidR="00C51A3E">
        <w:rPr>
          <w:bCs w:val="0"/>
        </w:rPr>
        <w:instrText xml:space="preserve"> REF _Ref117849022 \r \h </w:instrText>
      </w:r>
      <w:r w:rsidR="00C51A3E">
        <w:rPr>
          <w:bCs w:val="0"/>
        </w:rPr>
      </w:r>
      <w:r w:rsidR="00C51A3E">
        <w:rPr>
          <w:bCs w:val="0"/>
        </w:rPr>
        <w:fldChar w:fldCharType="separate"/>
      </w:r>
      <w:r w:rsidR="00663122">
        <w:rPr>
          <w:bCs w:val="0"/>
          <w:cs/>
        </w:rPr>
        <w:t>‎</w:t>
      </w:r>
      <w:r w:rsidR="00663122">
        <w:rPr>
          <w:bCs w:val="0"/>
        </w:rPr>
        <w:t>12.1</w:t>
      </w:r>
      <w:r w:rsidR="00C51A3E">
        <w:rPr>
          <w:bCs w:val="0"/>
        </w:rPr>
        <w:fldChar w:fldCharType="end"/>
      </w:r>
      <w:r w:rsidR="00481678">
        <w:rPr>
          <w:bCs w:val="0"/>
        </w:rPr>
        <w:t xml:space="preserve"> shall be deemed material</w:t>
      </w:r>
      <w:r w:rsidRPr="009F4300">
        <w:t>.</w:t>
      </w:r>
    </w:p>
    <w:p w:rsidRPr="009F4300" w:rsidR="00F238C5" w:rsidP="00F238C5" w:rsidRDefault="00F238C5" w14:paraId="4367A6C0" w14:textId="3ADD49C1">
      <w:pPr>
        <w:pStyle w:val="ssNoHeading2"/>
      </w:pPr>
      <w:bookmarkStart w:name="_Ref353288518" w:id="90"/>
      <w:r w:rsidRPr="009F4300">
        <w:t xml:space="preserve">The </w:t>
      </w:r>
      <w:r w:rsidR="00B21EE2">
        <w:t>Manager</w:t>
      </w:r>
      <w:r w:rsidRPr="009F4300">
        <w:t xml:space="preserve"> may from time to time impose such restrictions as it thinks necessary for the purpose of ensuring that no Units are acquired or held by any person in circumstances (“relevant circumstances”):</w:t>
      </w:r>
      <w:bookmarkEnd w:id="90"/>
    </w:p>
    <w:p w:rsidRPr="009F4300" w:rsidR="00F238C5" w:rsidP="00F238C5" w:rsidRDefault="00F238C5" w14:paraId="7A74ED49" w14:textId="75175B7B">
      <w:pPr>
        <w:pStyle w:val="ssNoHeading3"/>
      </w:pPr>
      <w:r w:rsidRPr="009F4300">
        <w:t>which constitute</w:t>
      </w:r>
      <w:r w:rsidR="00022F49">
        <w:t xml:space="preserve"> (or where the Manager reasonably considers this to be the case)</w:t>
      </w:r>
      <w:r w:rsidRPr="009F4300">
        <w:t xml:space="preserve"> a breach of the law or governmental regulation (or any interpretation of a law or regulation by a competent authority) of any country or territory; or</w:t>
      </w:r>
    </w:p>
    <w:p w:rsidR="00F238C5" w:rsidP="00F238C5" w:rsidRDefault="00F238C5" w14:paraId="72C00C0B" w14:textId="66C574E9">
      <w:pPr>
        <w:pStyle w:val="ssNoHeading3"/>
      </w:pPr>
      <w:r w:rsidRPr="009F4300">
        <w:t xml:space="preserve">which would (or would if other Units were acquired or held in like circumstances) result in </w:t>
      </w:r>
      <w:r w:rsidR="004543A0">
        <w:t>[</w:t>
      </w:r>
      <w:r w:rsidRPr="009F4300">
        <w:t xml:space="preserve">the </w:t>
      </w:r>
      <w:r w:rsidR="00D30F5C">
        <w:t>Sub-Fund</w:t>
      </w:r>
      <w:r w:rsidRPr="009F4300">
        <w:t xml:space="preserve"> or</w:t>
      </w:r>
      <w:r w:rsidR="004543A0">
        <w:t>]</w:t>
      </w:r>
      <w:r w:rsidRPr="002B14E8" w:rsidR="004543A0">
        <w:rPr>
          <w:vertAlign w:val="superscript"/>
        </w:rPr>
        <w:t>2</w:t>
      </w:r>
      <w:r w:rsidRPr="009F4300">
        <w:t xml:space="preserve"> the Scheme incurring any liability to Taxation which it is not able to recoup itself or suffering any other adverse consequence (including a requirement to register under any securities or investment or similar laws or governmental regulation of any country or territory)</w:t>
      </w:r>
      <w:r w:rsidR="00481678">
        <w:t>; or</w:t>
      </w:r>
    </w:p>
    <w:p w:rsidR="004A008A" w:rsidP="001E0B2F" w:rsidRDefault="004A008A" w14:paraId="70CA65E0" w14:textId="39962619">
      <w:pPr>
        <w:pStyle w:val="ssNoHeading3"/>
        <w:numPr>
          <w:ilvl w:val="3"/>
          <w:numId w:val="76"/>
        </w:numPr>
      </w:pPr>
      <w:bookmarkStart w:name="_Ref95173851" w:id="91"/>
      <w:r>
        <w:t>where they are held in any manner by virtue of which the Unitholder or Unitholders in question is/are not qualified to hold such Units; or</w:t>
      </w:r>
      <w:bookmarkEnd w:id="91"/>
    </w:p>
    <w:p w:rsidR="004A008A" w:rsidP="001E0B2F" w:rsidRDefault="004A008A" w14:paraId="0ECA386A" w14:textId="724C5BC6">
      <w:pPr>
        <w:pStyle w:val="ssNoHeading3"/>
        <w:numPr>
          <w:ilvl w:val="3"/>
          <w:numId w:val="76"/>
        </w:numPr>
      </w:pPr>
      <w:bookmarkStart w:name="_Ref95173860" w:id="92"/>
      <w:r>
        <w:t>where they are owned by a Unitholder who is registered in a jurisdiction (where the Scheme is not registered or recognised by the relevant competent authority) whereby communication with that Unitholder by the Manager, on behalf of the Scheme, might constitute a breach of the regulations in that jurisdiction (unless specific action is taken by the Manager to prevent such a communication constituting a breach); or</w:t>
      </w:r>
      <w:bookmarkEnd w:id="92"/>
    </w:p>
    <w:p w:rsidRPr="009F4300" w:rsidR="00481678" w:rsidP="001E0B2F" w:rsidRDefault="00481678" w14:paraId="5FBF1C11" w14:textId="58DEAB03">
      <w:pPr>
        <w:pStyle w:val="ssNoHeading3"/>
        <w:numPr>
          <w:ilvl w:val="3"/>
          <w:numId w:val="76"/>
        </w:numPr>
      </w:pPr>
      <w:bookmarkStart w:name="_Hlk117592734" w:id="93"/>
      <w:r>
        <w:t>which constitute a breach of this Deed or the Prospectus as to eligibility or entitlement to hold such Units,</w:t>
      </w:r>
      <w:bookmarkEnd w:id="93"/>
    </w:p>
    <w:p w:rsidRPr="009F4300" w:rsidR="00F238C5" w:rsidP="00F238C5" w:rsidRDefault="00481678" w14:paraId="4C9AEC05" w14:textId="280FDEC1">
      <w:pPr>
        <w:pStyle w:val="ssPara3"/>
      </w:pPr>
      <w:r>
        <w:t>a</w:t>
      </w:r>
      <w:r w:rsidRPr="009F4300" w:rsidR="00F238C5">
        <w:t xml:space="preserve">nd, in this connection, the </w:t>
      </w:r>
      <w:r w:rsidR="00B21EE2">
        <w:t>Manager</w:t>
      </w:r>
      <w:r w:rsidRPr="009F4300" w:rsidR="00F238C5">
        <w:t xml:space="preserve"> may, among other things, reject at its discretion any subscription for, or redemption or transfer of, Units.</w:t>
      </w:r>
    </w:p>
    <w:p w:rsidRPr="009F4300" w:rsidR="00F238C5" w:rsidP="00F238C5" w:rsidRDefault="00F238C5" w14:paraId="6E5D568D" w14:textId="567EC691">
      <w:pPr>
        <w:pStyle w:val="ssNoHeading2"/>
      </w:pPr>
      <w:bookmarkStart w:name="_Ref353288313" w:id="94"/>
      <w:bookmarkStart w:name="_Ref370900524" w:id="95"/>
      <w:r w:rsidRPr="009F4300">
        <w:t xml:space="preserve">If it comes to the notice of the </w:t>
      </w:r>
      <w:r w:rsidR="00B21EE2">
        <w:t>Manager</w:t>
      </w:r>
      <w:r w:rsidRPr="009F4300">
        <w:t xml:space="preserve"> that any Units are being held in breach of the </w:t>
      </w:r>
      <w:r w:rsidR="00481678">
        <w:t xml:space="preserve">eligibility </w:t>
      </w:r>
      <w:r w:rsidRPr="009F4300">
        <w:t xml:space="preserve">condition in </w:t>
      </w:r>
      <w:r w:rsidR="00314A95">
        <w:rPr>
          <w:bCs w:val="0"/>
        </w:rPr>
        <w:t>C</w:t>
      </w:r>
      <w:r w:rsidRPr="00C51A3E">
        <w:rPr>
          <w:bCs w:val="0"/>
        </w:rPr>
        <w:t xml:space="preserve">lause </w:t>
      </w:r>
      <w:r w:rsidR="00C51A3E">
        <w:rPr>
          <w:bCs w:val="0"/>
        </w:rPr>
        <w:fldChar w:fldCharType="begin"/>
      </w:r>
      <w:r w:rsidR="00C51A3E">
        <w:rPr>
          <w:bCs w:val="0"/>
        </w:rPr>
        <w:instrText xml:space="preserve"> REF _Ref117849022 \r \h </w:instrText>
      </w:r>
      <w:r w:rsidR="00C51A3E">
        <w:rPr>
          <w:bCs w:val="0"/>
        </w:rPr>
      </w:r>
      <w:r w:rsidR="00C51A3E">
        <w:rPr>
          <w:bCs w:val="0"/>
        </w:rPr>
        <w:fldChar w:fldCharType="separate"/>
      </w:r>
      <w:r w:rsidR="00663122">
        <w:rPr>
          <w:bCs w:val="0"/>
          <w:cs/>
        </w:rPr>
        <w:t>‎</w:t>
      </w:r>
      <w:r w:rsidR="00663122">
        <w:rPr>
          <w:bCs w:val="0"/>
        </w:rPr>
        <w:t>12.1</w:t>
      </w:r>
      <w:r w:rsidR="00C51A3E">
        <w:rPr>
          <w:bCs w:val="0"/>
        </w:rPr>
        <w:fldChar w:fldCharType="end"/>
      </w:r>
      <w:r w:rsidRPr="009F4300">
        <w:t xml:space="preserve"> or that any Units have been acquired or are being held in each case whether beneficially or otherwise in any of the relevant circumstances referred to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(in each case known as “affected Units”) or if </w:t>
      </w:r>
      <w:r w:rsidR="003929BA">
        <w:t>the Manager</w:t>
      </w:r>
      <w:r w:rsidRPr="009F4300">
        <w:t xml:space="preserve"> reasonably believes this to be the case</w:t>
      </w:r>
      <w:r w:rsidR="003929BA">
        <w:t>,</w:t>
      </w:r>
      <w:r w:rsidRPr="009F4300">
        <w:t xml:space="preserve"> the </w:t>
      </w:r>
      <w:r w:rsidR="00B21EE2">
        <w:t>Manager</w:t>
      </w:r>
      <w:r w:rsidRPr="009F4300">
        <w:t xml:space="preserve"> may give notice to the relevant Unitholder requiring the transfer of such Units to a person who is</w:t>
      </w:r>
      <w:r w:rsidR="003929BA">
        <w:t xml:space="preserve"> an Eligible Investor and who is</w:t>
      </w:r>
      <w:r w:rsidRPr="009F4300">
        <w:t xml:space="preserve"> qualified or entitled to own </w:t>
      </w:r>
      <w:r w:rsidR="003929BA">
        <w:t>Units</w:t>
      </w:r>
      <w:r w:rsidRPr="009F4300">
        <w:t xml:space="preserve"> without causing the adverse consequences as set out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If any person upon whom such a notice is served pursuant to this </w:t>
      </w:r>
      <w:r w:rsidR="00314A95">
        <w:t>C</w:t>
      </w:r>
      <w:r w:rsidRPr="009F4300">
        <w:t xml:space="preserve">lause does not within </w:t>
      </w:r>
      <w:r w:rsidR="003929BA">
        <w:t xml:space="preserve">30 </w:t>
      </w:r>
      <w:r w:rsidR="003929BA">
        <w:lastRenderedPageBreak/>
        <w:t>[calendar]</w:t>
      </w:r>
      <w:r w:rsidRPr="009F4300">
        <w:t xml:space="preserve"> days after the date of such notice transfer his Units to a</w:t>
      </w:r>
      <w:r w:rsidR="003929BA">
        <w:t>n Eligible Investor who is</w:t>
      </w:r>
      <w:r w:rsidRPr="009F4300">
        <w:t xml:space="preserve"> qualified</w:t>
      </w:r>
      <w:r w:rsidR="003929BA">
        <w:t xml:space="preserve"> or entitled</w:t>
      </w:r>
      <w:r w:rsidRPr="009F4300">
        <w:t xml:space="preserve"> to hold </w:t>
      </w:r>
      <w:r w:rsidR="003929BA">
        <w:t>Units</w:t>
      </w:r>
      <w:r w:rsidRPr="009F4300">
        <w:t xml:space="preserve"> in accordance with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Pr="009F4300">
        <w:t xml:space="preserve"> or without causing the adverse consequences as set out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or establish to the satisfaction of the </w:t>
      </w:r>
      <w:r w:rsidR="00B21EE2">
        <w:t>Manager</w:t>
      </w:r>
      <w:r w:rsidRPr="009F4300">
        <w:t xml:space="preserve"> (whose judgement shall be final and binding) that he and any person on whose behalf he holds the affected Units </w:t>
      </w:r>
      <w:r w:rsidR="003929BA">
        <w:t>is an Eligible Investor or</w:t>
      </w:r>
      <w:r w:rsidRPr="009F4300">
        <w:t xml:space="preserve"> qualified and entitled to own the Units in accordance with </w:t>
      </w:r>
      <w:r w:rsidR="00314A95">
        <w:rPr>
          <w:bCs w:val="0"/>
        </w:rPr>
        <w:t>C</w:t>
      </w:r>
      <w:r w:rsidRPr="009F4300">
        <w:rPr>
          <w:bCs w:val="0"/>
        </w:rPr>
        <w:t xml:space="preserve">lause </w:t>
      </w:r>
      <w:r w:rsidR="00C51A3E">
        <w:rPr>
          <w:bCs w:val="0"/>
        </w:rPr>
        <w:t>12.1</w:t>
      </w:r>
      <w:r w:rsidRPr="009F4300">
        <w:t xml:space="preserve"> or without causing a breach of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006F7E70">
        <w:rPr>
          <w:bCs w:val="0"/>
        </w:rPr>
        <w:t xml:space="preserve"> </w:t>
      </w:r>
      <w:r w:rsidRPr="009F4300">
        <w:t xml:space="preserve">or the adverse consequences as set out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he shall be deemed upon the expiration of that </w:t>
      </w:r>
      <w:r w:rsidR="009B74E6">
        <w:t>30 [calendar]</w:t>
      </w:r>
      <w:r w:rsidRPr="009F4300">
        <w:t xml:space="preserve"> day period to have </w:t>
      </w:r>
      <w:bookmarkEnd w:id="94"/>
      <w:r w:rsidRPr="009F4300">
        <w:t xml:space="preserve">given a request in writing for the redemption or cancellation (at the discretion of the </w:t>
      </w:r>
      <w:r w:rsidR="00B21EE2">
        <w:t>Manager</w:t>
      </w:r>
      <w:r w:rsidRPr="009F4300">
        <w:t>) of the affected Units pursuant to the Regulations.</w:t>
      </w:r>
      <w:bookmarkEnd w:id="95"/>
    </w:p>
    <w:p w:rsidRPr="009F4300" w:rsidR="00F238C5" w:rsidP="00F238C5" w:rsidRDefault="00F238C5" w14:paraId="0DCE5E28" w14:textId="7C0CD8D4">
      <w:pPr>
        <w:pStyle w:val="ssNoHeading2"/>
      </w:pPr>
      <w:bookmarkStart w:name="_Ref353288618" w:id="96"/>
      <w:r w:rsidRPr="009F4300">
        <w:t xml:space="preserve">A person who becomes aware that he has acquired or holds whether beneficially or otherwise affected Units in breach of the condition in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00F567C5">
        <w:rPr>
          <w:bCs w:val="0"/>
        </w:rPr>
        <w:t xml:space="preserve"> </w:t>
      </w:r>
      <w:r w:rsidRPr="009F4300">
        <w:t xml:space="preserve">or in any of the relevant circumstances referred to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shall forthwith, unless he has already received a notice pursuant to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_Ref353288313 \r \h  \* MERGEFORMAT </w:instrText>
      </w:r>
      <w:r w:rsidRPr="009F4300">
        <w:rPr>
          <w:bCs w:val="0"/>
        </w:rPr>
      </w:r>
      <w:r w:rsidRPr="009F4300">
        <w:rPr>
          <w:bCs w:val="0"/>
        </w:rPr>
        <w:fldChar w:fldCharType="separate"/>
      </w:r>
      <w:r w:rsidR="00663122">
        <w:rPr>
          <w:bCs w:val="0"/>
          <w:cs/>
        </w:rPr>
        <w:t>‎</w:t>
      </w:r>
      <w:r w:rsidR="00663122">
        <w:rPr>
          <w:bCs w:val="0"/>
        </w:rPr>
        <w:t>12.6</w:t>
      </w:r>
      <w:r w:rsidRPr="009F4300">
        <w:rPr>
          <w:bCs w:val="0"/>
        </w:rPr>
        <w:fldChar w:fldCharType="end"/>
      </w:r>
      <w:r w:rsidR="00581256">
        <w:rPr>
          <w:bCs w:val="0"/>
        </w:rPr>
        <w:t>,</w:t>
      </w:r>
      <w:r w:rsidRPr="009F4300">
        <w:t xml:space="preserve"> either transfer or procure the transfer of all the affected Units to a</w:t>
      </w:r>
      <w:r w:rsidR="00581256">
        <w:t>n Eligible Investor</w:t>
      </w:r>
      <w:r w:rsidRPr="009F4300">
        <w:t xml:space="preserve"> qualified to own </w:t>
      </w:r>
      <w:r w:rsidR="00581256">
        <w:t>Units</w:t>
      </w:r>
      <w:r w:rsidRPr="009F4300">
        <w:t xml:space="preserve"> without causing a breach of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006F7E70">
        <w:rPr>
          <w:bCs w:val="0"/>
        </w:rPr>
        <w:t xml:space="preserve"> </w:t>
      </w:r>
      <w:r w:rsidRPr="009F4300">
        <w:t xml:space="preserve">or the adverse consequences as set out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or give a request in writing or procure that a request is so given for the redemption or cancellation of all the affected Units pursuant to the Regulations.</w:t>
      </w:r>
      <w:bookmarkEnd w:id="96"/>
      <w:r w:rsidR="00256407">
        <w:rPr>
          <w:rStyle w:val="EndnoteReference"/>
        </w:rPr>
        <w:endnoteReference w:id="18"/>
      </w:r>
    </w:p>
    <w:p w:rsidRPr="00667DA5" w:rsidR="00F238C5" w:rsidP="00F238C5" w:rsidRDefault="00F238C5" w14:paraId="40FECC9E" w14:textId="339F648D">
      <w:pPr>
        <w:pStyle w:val="ssNoHeading2"/>
      </w:pPr>
      <w:r w:rsidRPr="009F4300">
        <w:t xml:space="preserve">In relation to any such request or deemed request as is referred to in </w:t>
      </w:r>
      <w:r w:rsidR="00314A95">
        <w:rPr>
          <w:bCs w:val="0"/>
        </w:rPr>
        <w:t>C</w:t>
      </w:r>
      <w:r w:rsidRPr="009F4300">
        <w:rPr>
          <w:bCs w:val="0"/>
        </w:rPr>
        <w:t xml:space="preserve">lauses </w:t>
      </w:r>
      <w:r w:rsidRPr="009F4300">
        <w:rPr>
          <w:bCs w:val="0"/>
        </w:rPr>
        <w:fldChar w:fldCharType="begin"/>
      </w:r>
      <w:r w:rsidRPr="009F4300">
        <w:rPr>
          <w:bCs w:val="0"/>
        </w:rPr>
        <w:instrText xml:space="preserve"> REF _Ref353288313 \r \h  \* MERGEFORMAT </w:instrText>
      </w:r>
      <w:r w:rsidRPr="009F4300">
        <w:rPr>
          <w:bCs w:val="0"/>
        </w:rPr>
      </w:r>
      <w:r w:rsidRPr="009F4300">
        <w:rPr>
          <w:bCs w:val="0"/>
        </w:rPr>
        <w:fldChar w:fldCharType="separate"/>
      </w:r>
      <w:r w:rsidR="00663122">
        <w:rPr>
          <w:bCs w:val="0"/>
          <w:cs/>
        </w:rPr>
        <w:t>‎</w:t>
      </w:r>
      <w:r w:rsidR="00663122">
        <w:rPr>
          <w:bCs w:val="0"/>
        </w:rPr>
        <w:t>12.6</w:t>
      </w:r>
      <w:r w:rsidRPr="009F4300">
        <w:rPr>
          <w:bCs w:val="0"/>
        </w:rPr>
        <w:fldChar w:fldCharType="end"/>
      </w:r>
      <w:r w:rsidRPr="00314A95">
        <w:rPr>
          <w:bCs w:val="0"/>
        </w:rPr>
        <w:t xml:space="preserve"> </w:t>
      </w:r>
      <w:r w:rsidRPr="009F4300">
        <w:rPr>
          <w:bCs w:val="0"/>
        </w:rPr>
        <w:t xml:space="preserve">or </w:t>
      </w:r>
      <w:r w:rsidRPr="009F4300">
        <w:rPr>
          <w:bCs w:val="0"/>
        </w:rPr>
        <w:fldChar w:fldCharType="begin"/>
      </w:r>
      <w:r w:rsidRPr="009F4300">
        <w:rPr>
          <w:bCs w:val="0"/>
        </w:rPr>
        <w:instrText xml:space="preserve"> REF _Ref353288618 \r \h  \* MERGEFORMAT </w:instrText>
      </w:r>
      <w:r w:rsidRPr="009F4300">
        <w:rPr>
          <w:bCs w:val="0"/>
        </w:rPr>
      </w:r>
      <w:r w:rsidRPr="009F4300">
        <w:rPr>
          <w:bCs w:val="0"/>
        </w:rPr>
        <w:fldChar w:fldCharType="separate"/>
      </w:r>
      <w:r w:rsidR="00663122">
        <w:rPr>
          <w:bCs w:val="0"/>
          <w:cs/>
        </w:rPr>
        <w:t>‎</w:t>
      </w:r>
      <w:r w:rsidR="00663122">
        <w:rPr>
          <w:bCs w:val="0"/>
        </w:rPr>
        <w:t>12.7</w:t>
      </w:r>
      <w:r w:rsidRPr="009F4300">
        <w:rPr>
          <w:bCs w:val="0"/>
        </w:rPr>
        <w:fldChar w:fldCharType="end"/>
      </w:r>
      <w:r w:rsidRPr="009F4300">
        <w:t xml:space="preserve">, the Depositary may exercise the right conferred upon it by </w:t>
      </w:r>
      <w:r w:rsidR="00314A95">
        <w:rPr>
          <w:bCs w:val="0"/>
        </w:rPr>
        <w:t>C</w:t>
      </w:r>
      <w:r w:rsidRPr="009F4300">
        <w:rPr>
          <w:bCs w:val="0"/>
        </w:rPr>
        <w:t xml:space="preserve">lause </w:t>
      </w:r>
      <w:r w:rsidRPr="00314A95">
        <w:rPr>
          <w:bCs w:val="0"/>
        </w:rPr>
        <w:fldChar w:fldCharType="begin"/>
      </w:r>
      <w:r w:rsidRPr="00314A95">
        <w:rPr>
          <w:bCs w:val="0"/>
        </w:rPr>
        <w:instrText xml:space="preserve"> REF _Ref376768583 \r \h  \* MERGEFORMAT </w:instrText>
      </w:r>
      <w:r w:rsidRPr="00314A95">
        <w:rPr>
          <w:bCs w:val="0"/>
        </w:rPr>
      </w:r>
      <w:r w:rsidRPr="00314A95">
        <w:rPr>
          <w:bCs w:val="0"/>
        </w:rPr>
        <w:fldChar w:fldCharType="separate"/>
      </w:r>
      <w:r w:rsidR="00663122">
        <w:rPr>
          <w:bCs w:val="0"/>
          <w:cs/>
        </w:rPr>
        <w:t>‎</w:t>
      </w:r>
      <w:r w:rsidR="00663122">
        <w:rPr>
          <w:bCs w:val="0"/>
        </w:rPr>
        <w:t>21</w:t>
      </w:r>
      <w:r w:rsidRPr="00314A95">
        <w:rPr>
          <w:bCs w:val="0"/>
        </w:rPr>
        <w:fldChar w:fldCharType="end"/>
      </w:r>
      <w:r w:rsidRPr="00314A95">
        <w:rPr>
          <w:bCs w:val="0"/>
        </w:rPr>
        <w:t>.</w:t>
      </w:r>
      <w:r w:rsidRPr="009F4300">
        <w:rPr>
          <w:b/>
        </w:rPr>
        <w:t xml:space="preserve"> </w:t>
      </w:r>
    </w:p>
    <w:p w:rsidRPr="00581256" w:rsidR="00667DA5" w:rsidP="00667DA5" w:rsidRDefault="00667DA5" w14:paraId="7C820F30" w14:textId="40DD3F18">
      <w:pPr>
        <w:pStyle w:val="ssNoHeading2"/>
        <w:numPr>
          <w:ilvl w:val="0"/>
          <w:numId w:val="0"/>
        </w:numPr>
        <w:ind w:left="709"/>
      </w:pPr>
      <w:r>
        <w:rPr>
          <w:b/>
        </w:rPr>
        <w:t>Exclusion of liability</w:t>
      </w:r>
    </w:p>
    <w:p w:rsidRPr="009F4300" w:rsidR="00F238C5" w:rsidP="00F238C5" w:rsidRDefault="00F238C5" w14:paraId="09FCAA0F" w14:textId="46066D04">
      <w:pPr>
        <w:pStyle w:val="ssNoHeading2"/>
      </w:pPr>
      <w:r w:rsidRPr="009F4300">
        <w:t xml:space="preserve">Provided that </w:t>
      </w:r>
      <w:r w:rsidR="00581256">
        <w:t>the</w:t>
      </w:r>
      <w:r w:rsidR="00BA2AD6">
        <w:t xml:space="preserve">y </w:t>
      </w:r>
      <w:r w:rsidRPr="009F4300">
        <w:t xml:space="preserve">shall have exercised due care and diligence to ensure that there is no breach of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Pr="009F4300">
        <w:t xml:space="preserve">, no liability shall attach to the </w:t>
      </w:r>
      <w:r w:rsidR="00B21EE2">
        <w:t>Manager</w:t>
      </w:r>
      <w:r w:rsidRPr="009F4300">
        <w:t xml:space="preserve"> </w:t>
      </w:r>
      <w:r w:rsidR="00581256">
        <w:t xml:space="preserve">or the Depositary </w:t>
      </w:r>
      <w:r w:rsidRPr="009F4300">
        <w:t xml:space="preserve">by reason of any action taken or not taken by any of them with respect to the matters referred to in this </w:t>
      </w:r>
      <w:r w:rsidR="00314A95">
        <w:t>C</w:t>
      </w:r>
      <w:r w:rsidRPr="009F4300">
        <w:t>lause or by reason of the fact that a Unitholder (including where applicable his Principal) shall be found never to have complied with or have ceased to comply with the</w:t>
      </w:r>
      <w:r w:rsidR="00581256">
        <w:t xml:space="preserve"> eligibility</w:t>
      </w:r>
      <w:r w:rsidRPr="009F4300">
        <w:t xml:space="preserve"> condition in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Pr="009F4300">
        <w:t>.</w:t>
      </w:r>
    </w:p>
    <w:p w:rsidRPr="009F4300" w:rsidR="00F238C5" w:rsidP="00F238C5" w:rsidRDefault="002F62B4" w14:paraId="3D14C110" w14:textId="3DB4AFC3">
      <w:pPr>
        <w:pStyle w:val="Heading1"/>
        <w:rPr>
          <w:b w:val="0"/>
          <w:bCs w:val="0"/>
          <w:u w:val="none"/>
        </w:rPr>
      </w:pPr>
      <w:bookmarkStart w:name="_Toc179391842" w:id="97"/>
      <w:r w:rsidRPr="009F4300">
        <w:t>Unitholders</w:t>
      </w:r>
      <w:bookmarkEnd w:id="97"/>
      <w:r w:rsidRPr="009F4300" w:rsidR="00F238C5">
        <w:rPr>
          <w:b w:val="0"/>
          <w:bCs w:val="0"/>
          <w:color w:val="000000"/>
          <w:u w:val="none"/>
        </w:rPr>
        <w:t xml:space="preserve"> </w:t>
      </w:r>
    </w:p>
    <w:p w:rsidRPr="009F4300" w:rsidR="00F238C5" w:rsidP="00F238C5" w:rsidRDefault="00F238C5" w14:paraId="603F64D1" w14:textId="55811A48">
      <w:pPr>
        <w:pStyle w:val="ssNoHeading2"/>
      </w:pPr>
      <w:r w:rsidRPr="009F4300">
        <w:t xml:space="preserve">A Unitholder is not liable to make any further payment to the </w:t>
      </w:r>
      <w:r w:rsidR="004543A0">
        <w:t>[</w:t>
      </w:r>
      <w:r w:rsidR="00D30F5C">
        <w:t>Sub-Fund</w:t>
      </w:r>
      <w:r w:rsidRPr="009F4300">
        <w:t xml:space="preserve"> in which he has invested or the</w:t>
      </w:r>
      <w:r w:rsidR="004543A0">
        <w:t>]</w:t>
      </w:r>
      <w:r w:rsidRPr="002B14E8" w:rsidR="004543A0">
        <w:rPr>
          <w:vertAlign w:val="superscript"/>
        </w:rPr>
        <w:t>2</w:t>
      </w:r>
      <w:r w:rsidRPr="009F4300">
        <w:t xml:space="preserve"> Scheme after </w:t>
      </w:r>
      <w:r w:rsidR="00581256">
        <w:t>they have</w:t>
      </w:r>
      <w:r w:rsidRPr="009F4300">
        <w:t xml:space="preserve"> paid the price of his Units and no further liability can be imposed on </w:t>
      </w:r>
      <w:r w:rsidR="00BA2AD6">
        <w:t>them</w:t>
      </w:r>
      <w:r w:rsidRPr="009F4300">
        <w:t xml:space="preserve"> in respect of the Units which </w:t>
      </w:r>
      <w:r w:rsidR="00BA2AD6">
        <w:t>they</w:t>
      </w:r>
      <w:r w:rsidRPr="009F4300">
        <w:t xml:space="preserve"> hold, other than as stated in </w:t>
      </w:r>
      <w:r w:rsidR="00314A95">
        <w:rPr>
          <w:bCs w:val="0"/>
        </w:rPr>
        <w:t>C</w:t>
      </w:r>
      <w:r w:rsidRPr="009F4300">
        <w:rPr>
          <w:bCs w:val="0"/>
        </w:rPr>
        <w:t xml:space="preserve">lause </w:t>
      </w:r>
      <w:r w:rsidRPr="009F4300">
        <w:rPr>
          <w:bCs w:val="0"/>
        </w:rPr>
        <w:fldChar w:fldCharType="begin"/>
      </w:r>
      <w:r w:rsidRPr="009F4300">
        <w:rPr>
          <w:bCs w:val="0"/>
        </w:rPr>
        <w:instrText xml:space="preserve"> REF _Ref371268462 \r \h  \* MERGEFORMAT </w:instrText>
      </w:r>
      <w:r w:rsidRPr="009F4300">
        <w:rPr>
          <w:bCs w:val="0"/>
        </w:rPr>
      </w:r>
      <w:r w:rsidRPr="009F4300">
        <w:rPr>
          <w:bCs w:val="0"/>
        </w:rPr>
        <w:fldChar w:fldCharType="separate"/>
      </w:r>
      <w:r w:rsidR="00663122">
        <w:rPr>
          <w:bCs w:val="0"/>
          <w:cs/>
        </w:rPr>
        <w:t>‎</w:t>
      </w:r>
      <w:r w:rsidR="00663122">
        <w:rPr>
          <w:bCs w:val="0"/>
        </w:rPr>
        <w:t>30.2</w:t>
      </w:r>
      <w:r w:rsidRPr="009F4300">
        <w:rPr>
          <w:bCs w:val="0"/>
        </w:rPr>
        <w:fldChar w:fldCharType="end"/>
      </w:r>
      <w:r w:rsidRPr="009F4300">
        <w:t xml:space="preserve">. </w:t>
      </w:r>
    </w:p>
    <w:p w:rsidRPr="009F4300" w:rsidR="00F238C5" w:rsidP="00F238C5" w:rsidRDefault="00F238C5" w14:paraId="7B0B963D" w14:textId="6B156028">
      <w:pPr>
        <w:pStyle w:val="ssNoHeading2"/>
      </w:pPr>
      <w:r w:rsidRPr="009F4300">
        <w:t xml:space="preserve">A person who at any time becomes a Unitholder </w:t>
      </w:r>
      <w:r w:rsidR="004543A0">
        <w:t>[</w:t>
      </w:r>
      <w:r w:rsidRPr="009F4300">
        <w:t xml:space="preserve">in a </w:t>
      </w:r>
      <w:r w:rsidR="00D30F5C">
        <w:t>Sub-Fund</w:t>
      </w:r>
      <w:r w:rsidR="004543A0">
        <w:t>]</w:t>
      </w:r>
      <w:r w:rsidRPr="002B14E8" w:rsidR="004543A0">
        <w:rPr>
          <w:vertAlign w:val="superscript"/>
        </w:rPr>
        <w:t>2</w:t>
      </w:r>
      <w:r w:rsidRPr="009F4300">
        <w:t xml:space="preserve"> acquires the rights and becomes subject to the liabilities to which the other Unitholders </w:t>
      </w:r>
      <w:r w:rsidR="004543A0">
        <w:t>[</w:t>
      </w:r>
      <w:r w:rsidRPr="009F4300">
        <w:t xml:space="preserve">in that </w:t>
      </w:r>
      <w:r w:rsidR="00D30F5C">
        <w:t>Sub-Fund</w:t>
      </w:r>
      <w:r w:rsidR="004543A0">
        <w:t>]</w:t>
      </w:r>
      <w:r w:rsidRPr="002B14E8" w:rsidR="004543A0">
        <w:rPr>
          <w:vertAlign w:val="superscript"/>
        </w:rPr>
        <w:t>2</w:t>
      </w:r>
      <w:r w:rsidRPr="009F4300">
        <w:t xml:space="preserve"> are entitled or subject at that time under, or in connection with, relevant Authorised Contracts.</w:t>
      </w:r>
    </w:p>
    <w:p w:rsidRPr="009F4300" w:rsidR="00F238C5" w:rsidP="00F238C5" w:rsidRDefault="00F238C5" w14:paraId="068FAD15" w14:textId="053124D6">
      <w:pPr>
        <w:pStyle w:val="ssNoHeading2"/>
      </w:pPr>
      <w:r w:rsidRPr="009F4300">
        <w:t>A person who ceases to be a Unitholder for any reason ceases to have any of the rights and to be subject to any of the liabilities to which a Unitholder is entitled or subject under, or in connection with, Authorised Contracts.</w:t>
      </w:r>
    </w:p>
    <w:p w:rsidRPr="009F4300" w:rsidR="00F238C5" w:rsidP="00F238C5" w:rsidRDefault="00BA2AD6" w14:paraId="50EFA91D" w14:textId="68236665">
      <w:pPr>
        <w:pStyle w:val="ssNoHeading2"/>
      </w:pPr>
      <w:r w:rsidRPr="009F4300">
        <w:t>A Unitholder is not liable for the debts of</w:t>
      </w:r>
      <w:r w:rsidR="004543A0">
        <w:t xml:space="preserve"> [the Scheme /</w:t>
      </w:r>
      <w:r w:rsidRPr="009F4300">
        <w:t xml:space="preserve"> the </w:t>
      </w:r>
      <w:r>
        <w:t>Sub-Fund</w:t>
      </w:r>
      <w:r w:rsidRPr="009F4300">
        <w:t xml:space="preserve"> in which he has invested</w:t>
      </w:r>
      <w:r w:rsidR="004543A0">
        <w:t>]</w:t>
      </w:r>
      <w:r w:rsidRPr="002B14E8" w:rsidR="004543A0">
        <w:rPr>
          <w:vertAlign w:val="superscript"/>
        </w:rPr>
        <w:t>2</w:t>
      </w:r>
      <w:r w:rsidRPr="009F4300">
        <w:t xml:space="preserve">. </w:t>
      </w:r>
      <w:r w:rsidRPr="009F4300" w:rsidR="00F238C5">
        <w:t xml:space="preserve">The debts of </w:t>
      </w:r>
      <w:r w:rsidR="004543A0">
        <w:t xml:space="preserve">[the Scheme / </w:t>
      </w:r>
      <w:r w:rsidRPr="009F4300" w:rsidR="00F238C5">
        <w:t xml:space="preserve">each </w:t>
      </w:r>
      <w:r w:rsidR="00D30F5C">
        <w:t>Sub-Fund</w:t>
      </w:r>
      <w:r w:rsidR="004543A0">
        <w:t>]</w:t>
      </w:r>
      <w:r w:rsidRPr="002B14E8" w:rsidR="004543A0">
        <w:rPr>
          <w:vertAlign w:val="superscript"/>
        </w:rPr>
        <w:t>2</w:t>
      </w:r>
      <w:r w:rsidRPr="009F4300" w:rsidR="00F238C5">
        <w:t xml:space="preserve"> are to be paid by the </w:t>
      </w:r>
      <w:r w:rsidR="00B21EE2">
        <w:t>Manager</w:t>
      </w:r>
      <w:r w:rsidRPr="009F4300" w:rsidR="00F238C5">
        <w:t xml:space="preserve"> out of the Scheme Property </w:t>
      </w:r>
      <w:r w:rsidR="004543A0">
        <w:t>[</w:t>
      </w:r>
      <w:r w:rsidRPr="009F4300" w:rsidR="00F238C5">
        <w:t xml:space="preserve">of that </w:t>
      </w:r>
      <w:r w:rsidR="00D30F5C">
        <w:t>Sub-Fund</w:t>
      </w:r>
      <w:r w:rsidR="004543A0">
        <w:t>]</w:t>
      </w:r>
      <w:r w:rsidRPr="002B14E8" w:rsidR="004543A0">
        <w:rPr>
          <w:vertAlign w:val="superscript"/>
        </w:rPr>
        <w:t>2</w:t>
      </w:r>
      <w:r w:rsidRPr="009F4300" w:rsidR="00F238C5">
        <w:t>.</w:t>
      </w:r>
      <w:r w:rsidRPr="009F4300" w:rsidR="00F238C5">
        <w:tab/>
      </w:r>
    </w:p>
    <w:p w:rsidRPr="009F4300" w:rsidR="00F238C5" w:rsidP="00F238C5" w:rsidRDefault="00F238C5" w14:paraId="15379701" w14:textId="48301AB1">
      <w:pPr>
        <w:pStyle w:val="ssNoHeading2"/>
      </w:pPr>
      <w:r w:rsidRPr="009F4300">
        <w:t xml:space="preserve">In this </w:t>
      </w:r>
      <w:r w:rsidR="00314A95">
        <w:t>C</w:t>
      </w:r>
      <w:r w:rsidRPr="009F4300">
        <w:t>lause, a reference to the debts of</w:t>
      </w:r>
      <w:r w:rsidR="004543A0">
        <w:t xml:space="preserve"> [the Scheme /</w:t>
      </w:r>
      <w:r w:rsidRPr="009F4300">
        <w:t xml:space="preserve"> a </w:t>
      </w:r>
      <w:r w:rsidR="00D30F5C">
        <w:t>Sub-Fund</w:t>
      </w:r>
      <w:r w:rsidR="004543A0">
        <w:t>]</w:t>
      </w:r>
      <w:r w:rsidRPr="002B14E8" w:rsidR="004543A0">
        <w:rPr>
          <w:vertAlign w:val="superscript"/>
        </w:rPr>
        <w:t>2</w:t>
      </w:r>
      <w:r w:rsidRPr="009F4300">
        <w:t xml:space="preserve"> is a reference to debts and obligations incurred under, or in connection with, its Authorised Contracts.</w:t>
      </w:r>
    </w:p>
    <w:p w:rsidRPr="009F4300" w:rsidR="00F238C5" w:rsidP="00F238C5" w:rsidRDefault="002F62B4" w14:paraId="10A8B032" w14:textId="65B26B7B">
      <w:pPr>
        <w:pStyle w:val="Heading1"/>
        <w:rPr>
          <w:b w:val="0"/>
          <w:bCs w:val="0"/>
          <w:u w:val="none"/>
        </w:rPr>
      </w:pPr>
      <w:bookmarkStart w:name="_DV_M71" w:id="98"/>
      <w:bookmarkStart w:name="_DV_M85" w:id="99"/>
      <w:bookmarkStart w:name="_DV_M86" w:id="100"/>
      <w:bookmarkStart w:name="_DV_M87" w:id="101"/>
      <w:bookmarkStart w:name="_DV_M88" w:id="102"/>
      <w:bookmarkStart w:name="_DV_M90" w:id="103"/>
      <w:bookmarkStart w:name="_DV_M92" w:id="104"/>
      <w:bookmarkStart w:name="_Toc179391843" w:id="105"/>
      <w:bookmarkEnd w:id="98"/>
      <w:bookmarkEnd w:id="99"/>
      <w:bookmarkEnd w:id="100"/>
      <w:bookmarkEnd w:id="101"/>
      <w:bookmarkEnd w:id="102"/>
      <w:bookmarkEnd w:id="103"/>
      <w:bookmarkEnd w:id="104"/>
      <w:r w:rsidRPr="009F4300">
        <w:rPr>
          <w:color w:val="000000"/>
          <w:w w:val="0"/>
        </w:rPr>
        <w:lastRenderedPageBreak/>
        <w:t>Base Currency</w:t>
      </w:r>
      <w:bookmarkStart w:name="_NN960" w:id="106"/>
      <w:bookmarkEnd w:id="106"/>
      <w:r w:rsidRPr="00237770" w:rsidR="00D53641">
        <w:rPr>
          <w:rStyle w:val="EndnoteReference"/>
          <w:b w:val="0"/>
          <w:bCs w:val="0"/>
          <w:color w:val="000000"/>
          <w:w w:val="0"/>
          <w:u w:val="none"/>
        </w:rPr>
        <w:endnoteReference w:id="19"/>
      </w:r>
      <w:bookmarkEnd w:id="105"/>
    </w:p>
    <w:p w:rsidRPr="009F4300" w:rsidR="00F238C5" w:rsidP="00F238C5" w:rsidRDefault="00F238C5" w14:paraId="327C35CC" w14:textId="4EEF1946">
      <w:pPr>
        <w:pStyle w:val="ssNoHeading2"/>
        <w:rPr>
          <w:w w:val="0"/>
        </w:rPr>
      </w:pPr>
      <w:bookmarkStart w:name="_DV_M93" w:id="107"/>
      <w:bookmarkEnd w:id="107"/>
      <w:r w:rsidRPr="009F4300">
        <w:rPr>
          <w:w w:val="0"/>
        </w:rPr>
        <w:t xml:space="preserve">The </w:t>
      </w:r>
      <w:r w:rsidR="00BA2AD6">
        <w:rPr>
          <w:w w:val="0"/>
        </w:rPr>
        <w:t>B</w:t>
      </w:r>
      <w:r w:rsidRPr="009F4300">
        <w:rPr>
          <w:w w:val="0"/>
        </w:rPr>
        <w:t xml:space="preserve">ase </w:t>
      </w:r>
      <w:r w:rsidR="00BA2AD6">
        <w:rPr>
          <w:w w:val="0"/>
        </w:rPr>
        <w:t>C</w:t>
      </w:r>
      <w:r w:rsidRPr="009F4300">
        <w:rPr>
          <w:w w:val="0"/>
        </w:rPr>
        <w:t xml:space="preserve">urrency of the Scheme is </w:t>
      </w:r>
      <w:r w:rsidR="005B0D12">
        <w:rPr>
          <w:w w:val="0"/>
        </w:rPr>
        <w:t>[</w:t>
      </w:r>
      <w:r w:rsidRPr="009F4300">
        <w:rPr>
          <w:w w:val="0"/>
        </w:rPr>
        <w:t>pounds sterling</w:t>
      </w:r>
      <w:r w:rsidR="005B0D12">
        <w:rPr>
          <w:w w:val="0"/>
        </w:rPr>
        <w:t>]</w:t>
      </w:r>
      <w:r w:rsidRPr="009F4300">
        <w:rPr>
          <w:w w:val="0"/>
        </w:rPr>
        <w:t xml:space="preserve"> or such other currency or currencies as may be the lawful currency of the [United Kingdom/England /Scotland] from time to time.</w:t>
      </w:r>
      <w:r w:rsidR="00BA2AD6">
        <w:rPr>
          <w:w w:val="0"/>
        </w:rPr>
        <w:t xml:space="preserve"> </w:t>
      </w:r>
      <w:bookmarkStart w:name="_Hlk160442273" w:id="108"/>
      <w:r w:rsidR="00B004FE">
        <w:rPr>
          <w:w w:val="0"/>
        </w:rPr>
        <w:t>[</w:t>
      </w:r>
      <w:r w:rsidR="00BA2AD6">
        <w:t>The Base Currency of</w:t>
      </w:r>
      <w:r w:rsidR="004543A0">
        <w:t xml:space="preserve"> </w:t>
      </w:r>
      <w:r w:rsidR="00BA2AD6">
        <w:t>each Sub-Fund</w:t>
      </w:r>
      <w:r w:rsidR="00B004FE">
        <w:t xml:space="preserve"> </w:t>
      </w:r>
      <w:r w:rsidR="00BA2AD6">
        <w:t xml:space="preserve">will be as set out in </w:t>
      </w:r>
      <w:r w:rsidR="009B60B7">
        <w:fldChar w:fldCharType="begin"/>
      </w:r>
      <w:r w:rsidR="009B60B7">
        <w:instrText xml:space="preserve"> REF _Ref117249332 \r \h </w:instrText>
      </w:r>
      <w:r w:rsidR="009B60B7">
        <w:fldChar w:fldCharType="separate"/>
      </w:r>
      <w:r w:rsidR="00663122">
        <w:rPr>
          <w:cs/>
        </w:rPr>
        <w:t>‎</w:t>
      </w:r>
      <w:r w:rsidR="00663122">
        <w:t>Part 1</w:t>
      </w:r>
      <w:r w:rsidR="009B60B7">
        <w:fldChar w:fldCharType="end"/>
      </w:r>
      <w:r w:rsidR="00BA2AD6">
        <w:t xml:space="preserve"> of the Schedule.</w:t>
      </w:r>
      <w:r w:rsidR="00B004FE">
        <w:t>]</w:t>
      </w:r>
      <w:r w:rsidRPr="002B14E8" w:rsidR="00B004FE">
        <w:rPr>
          <w:vertAlign w:val="superscript"/>
        </w:rPr>
        <w:t>2</w:t>
      </w:r>
      <w:bookmarkEnd w:id="108"/>
    </w:p>
    <w:p w:rsidRPr="009F4300" w:rsidR="00F238C5" w:rsidP="00F238C5" w:rsidRDefault="002F62B4" w14:paraId="62289F76" w14:textId="7D031D52">
      <w:pPr>
        <w:pStyle w:val="Heading1"/>
      </w:pPr>
      <w:bookmarkStart w:name="_DV_M94" w:id="109"/>
      <w:bookmarkStart w:name="_Ref352852805" w:id="110"/>
      <w:bookmarkStart w:name="_Ref117864585" w:id="111"/>
      <w:bookmarkStart w:name="_Toc179391844" w:id="112"/>
      <w:bookmarkEnd w:id="109"/>
      <w:r w:rsidRPr="009F4300">
        <w:rPr>
          <w:w w:val="0"/>
        </w:rPr>
        <w:t>Classes of Units</w:t>
      </w:r>
      <w:bookmarkEnd w:id="110"/>
      <w:r w:rsidRPr="009F4300">
        <w:rPr>
          <w:w w:val="0"/>
        </w:rPr>
        <w:t xml:space="preserve"> and Preferential Treatment</w:t>
      </w:r>
      <w:bookmarkStart w:name="_NN961" w:id="113"/>
      <w:bookmarkEnd w:id="111"/>
      <w:bookmarkEnd w:id="113"/>
      <w:bookmarkEnd w:id="112"/>
    </w:p>
    <w:p w:rsidRPr="009F4300" w:rsidR="00F238C5" w:rsidP="00F238C5" w:rsidRDefault="00F238C5" w14:paraId="4B7A4F3A" w14:textId="4490CAA1">
      <w:pPr>
        <w:pStyle w:val="ssNoHeading2"/>
      </w:pPr>
      <w:bookmarkStart w:name="_DV_M95" w:id="114"/>
      <w:bookmarkStart w:name="_Ref352772300" w:id="115"/>
      <w:bookmarkEnd w:id="114"/>
      <w:r w:rsidRPr="009F4300">
        <w:rPr>
          <w:w w:val="0"/>
        </w:rPr>
        <w:t xml:space="preserve">The Depositary will from time to time issue Units of different Classes </w:t>
      </w:r>
      <w:bookmarkStart w:name="_Hlk153974928" w:id="116"/>
      <w:r w:rsidR="004543A0">
        <w:rPr>
          <w:w w:val="0"/>
        </w:rPr>
        <w:t>[</w:t>
      </w:r>
      <w:r w:rsidRPr="009F4300">
        <w:rPr>
          <w:w w:val="0"/>
        </w:rPr>
        <w:t xml:space="preserve">in respect of a </w:t>
      </w:r>
      <w:r w:rsidR="00D30F5C">
        <w:rPr>
          <w:w w:val="0"/>
        </w:rPr>
        <w:t>Sub-Fund</w:t>
      </w:r>
      <w:r w:rsidR="004543A0">
        <w:rPr>
          <w:w w:val="0"/>
        </w:rPr>
        <w:t>]</w:t>
      </w:r>
      <w:r w:rsidRPr="002B14E8" w:rsidR="004543A0">
        <w:rPr>
          <w:vertAlign w:val="superscript"/>
        </w:rPr>
        <w:t>2</w:t>
      </w:r>
      <w:r w:rsidRPr="009F4300">
        <w:rPr>
          <w:w w:val="0"/>
        </w:rPr>
        <w:t xml:space="preserve"> when instructed by the </w:t>
      </w:r>
      <w:r w:rsidR="00B21EE2">
        <w:rPr>
          <w:w w:val="0"/>
        </w:rPr>
        <w:t>Manager</w:t>
      </w:r>
      <w:r w:rsidR="00973557">
        <w:rPr>
          <w:w w:val="0"/>
        </w:rPr>
        <w:t>, provided the rights of any Class [</w:t>
      </w:r>
      <w:r w:rsidRPr="009F4300" w:rsidR="00973557">
        <w:rPr>
          <w:w w:val="0"/>
        </w:rPr>
        <w:t xml:space="preserve">in respect of </w:t>
      </w:r>
      <w:r w:rsidR="00973557">
        <w:rPr>
          <w:w w:val="0"/>
        </w:rPr>
        <w:t>the same</w:t>
      </w:r>
      <w:r w:rsidRPr="009F4300" w:rsidR="00973557">
        <w:rPr>
          <w:w w:val="0"/>
        </w:rPr>
        <w:t xml:space="preserve"> </w:t>
      </w:r>
      <w:r w:rsidR="00973557">
        <w:rPr>
          <w:w w:val="0"/>
        </w:rPr>
        <w:t>Sub-Fund]</w:t>
      </w:r>
      <w:r w:rsidRPr="002B14E8" w:rsidR="00973557">
        <w:rPr>
          <w:vertAlign w:val="superscript"/>
        </w:rPr>
        <w:t>2</w:t>
      </w:r>
      <w:r w:rsidR="00973557">
        <w:rPr>
          <w:w w:val="0"/>
        </w:rPr>
        <w:t xml:space="preserve"> are not unfairly prejudicial as against the interests of the Unitholders of any other Class of Units [</w:t>
      </w:r>
      <w:r w:rsidRPr="009F4300" w:rsidR="00973557">
        <w:rPr>
          <w:w w:val="0"/>
        </w:rPr>
        <w:t xml:space="preserve">in respect of </w:t>
      </w:r>
      <w:r w:rsidR="00973557">
        <w:rPr>
          <w:w w:val="0"/>
        </w:rPr>
        <w:t>the same</w:t>
      </w:r>
      <w:r w:rsidRPr="009F4300" w:rsidR="00973557">
        <w:rPr>
          <w:w w:val="0"/>
        </w:rPr>
        <w:t xml:space="preserve"> </w:t>
      </w:r>
      <w:r w:rsidR="00973557">
        <w:rPr>
          <w:w w:val="0"/>
        </w:rPr>
        <w:t>Sub-Fund / in the Scheme]</w:t>
      </w:r>
      <w:r w:rsidRPr="002B14E8" w:rsidR="00973557">
        <w:rPr>
          <w:vertAlign w:val="superscript"/>
        </w:rPr>
        <w:t>2</w:t>
      </w:r>
      <w:r w:rsidR="00973557">
        <w:rPr>
          <w:w w:val="0"/>
        </w:rPr>
        <w:t>.</w:t>
      </w:r>
      <w:r w:rsidR="00973557">
        <w:rPr>
          <w:rStyle w:val="EndnoteReference"/>
          <w:w w:val="0"/>
        </w:rPr>
        <w:endnoteReference w:id="20"/>
      </w:r>
      <w:r w:rsidRPr="009F4300">
        <w:rPr>
          <w:w w:val="0"/>
        </w:rPr>
        <w:t xml:space="preserve"> </w:t>
      </w:r>
      <w:bookmarkEnd w:id="116"/>
      <w:r w:rsidRPr="009F4300">
        <w:rPr>
          <w:w w:val="0"/>
        </w:rPr>
        <w:t xml:space="preserve">The rights and terms attaching to each Class shall be as set out in this </w:t>
      </w:r>
      <w:r w:rsidR="00B21EE2">
        <w:rPr>
          <w:w w:val="0"/>
        </w:rPr>
        <w:t>Deed</w:t>
      </w:r>
      <w:r w:rsidRPr="009F4300">
        <w:rPr>
          <w:w w:val="0"/>
        </w:rPr>
        <w:t xml:space="preserve"> and as further described in the Prospectus.</w:t>
      </w:r>
      <w:bookmarkEnd w:id="115"/>
      <w:r w:rsidRPr="009F4300">
        <w:rPr>
          <w:w w:val="0"/>
        </w:rPr>
        <w:t xml:space="preserve"> </w:t>
      </w:r>
      <w:r w:rsidRPr="000A6744" w:rsidR="008B3C56">
        <w:t xml:space="preserve">The rights attached to a Class shall not be varied except with the sanction of an extraordinary resolution passed at a Class [or </w:t>
      </w:r>
      <w:r w:rsidR="008B3C56">
        <w:t>Sub-</w:t>
      </w:r>
      <w:r w:rsidRPr="000A6744" w:rsidR="008B3C56">
        <w:t>Fund]</w:t>
      </w:r>
      <w:r w:rsidR="008B3C56">
        <w:rPr>
          <w:vertAlign w:val="superscript"/>
        </w:rPr>
        <w:t>2</w:t>
      </w:r>
      <w:r w:rsidRPr="000A6744" w:rsidR="008B3C56">
        <w:t xml:space="preserve"> meeting of the holders concerned.</w:t>
      </w:r>
      <w:r w:rsidRPr="009F4300">
        <w:rPr>
          <w:w w:val="0"/>
        </w:rPr>
        <w:t xml:space="preserve"> </w:t>
      </w:r>
    </w:p>
    <w:p w:rsidRPr="009F4300" w:rsidR="00F238C5" w:rsidP="00F238C5" w:rsidRDefault="00D53641" w14:paraId="2E3E4A59" w14:textId="6AB41088">
      <w:pPr>
        <w:pStyle w:val="ssNoHeading2"/>
        <w:rPr>
          <w:w w:val="0"/>
        </w:rPr>
      </w:pPr>
      <w:bookmarkStart w:name="_Ref353958154" w:id="117"/>
      <w:r>
        <w:rPr>
          <w:w w:val="0"/>
        </w:rPr>
        <w:t>[</w:t>
      </w:r>
      <w:r w:rsidRPr="009F4300" w:rsidR="00F238C5">
        <w:rPr>
          <w:w w:val="0"/>
        </w:rPr>
        <w:t xml:space="preserve">The Classes which may presently be issued are </w:t>
      </w:r>
      <w:r w:rsidR="00667DA5">
        <w:t>I</w:t>
      </w:r>
      <w:r w:rsidRPr="009F4300" w:rsidR="00F238C5">
        <w:t>ncome</w:t>
      </w:r>
      <w:r w:rsidR="00667DA5">
        <w:t xml:space="preserve"> Units</w:t>
      </w:r>
      <w:r w:rsidRPr="009F4300" w:rsidR="00F238C5">
        <w:t xml:space="preserve"> </w:t>
      </w:r>
      <w:r w:rsidRPr="009F4300" w:rsidR="00F238C5">
        <w:rPr>
          <w:w w:val="0"/>
        </w:rPr>
        <w:t xml:space="preserve">and </w:t>
      </w:r>
      <w:r w:rsidR="00667DA5">
        <w:rPr>
          <w:w w:val="0"/>
        </w:rPr>
        <w:t>A</w:t>
      </w:r>
      <w:r w:rsidRPr="009F4300" w:rsidR="00F238C5">
        <w:rPr>
          <w:w w:val="0"/>
        </w:rPr>
        <w:t xml:space="preserve">ccumulation Units or </w:t>
      </w:r>
      <w:r w:rsidR="00667DA5">
        <w:rPr>
          <w:w w:val="0"/>
        </w:rPr>
        <w:t xml:space="preserve">Units of </w:t>
      </w:r>
      <w:r w:rsidRPr="009F4300" w:rsidR="00F238C5">
        <w:rPr>
          <w:w w:val="0"/>
        </w:rPr>
        <w:t xml:space="preserve">such other designation as the </w:t>
      </w:r>
      <w:r w:rsidR="00B21EE2">
        <w:t>Manager</w:t>
      </w:r>
      <w:r w:rsidRPr="009F4300" w:rsidR="00F238C5">
        <w:rPr>
          <w:w w:val="0"/>
        </w:rPr>
        <w:t xml:space="preserve"> may from time to time decide and which are set out in the Prospectus effective at any relevant date.  Every such Class may be issued in the form of:</w:t>
      </w:r>
      <w:bookmarkEnd w:id="117"/>
    </w:p>
    <w:p w:rsidRPr="009F4300" w:rsidR="00F238C5" w:rsidP="00AF6861" w:rsidRDefault="00F567C5" w14:paraId="57E7D7AA" w14:textId="6401A58D">
      <w:pPr>
        <w:pStyle w:val="ssNoHeading3"/>
      </w:pPr>
      <w:r>
        <w:rPr>
          <w:w w:val="0"/>
        </w:rPr>
        <w:t>A</w:t>
      </w:r>
      <w:r w:rsidRPr="009F4300" w:rsidR="00F238C5">
        <w:rPr>
          <w:w w:val="0"/>
        </w:rPr>
        <w:t>ccumulation Units;</w:t>
      </w:r>
    </w:p>
    <w:p w:rsidRPr="009F4300" w:rsidR="00F238C5" w:rsidP="00F238C5" w:rsidRDefault="00F567C5" w14:paraId="74497ACF" w14:textId="2E390816">
      <w:pPr>
        <w:pStyle w:val="ssNoHeading3"/>
      </w:pPr>
      <w:r>
        <w:rPr>
          <w:w w:val="0"/>
        </w:rPr>
        <w:t>I</w:t>
      </w:r>
      <w:r w:rsidRPr="009F4300" w:rsidR="00F238C5">
        <w:rPr>
          <w:w w:val="0"/>
        </w:rPr>
        <w:t>ncome Units;</w:t>
      </w:r>
    </w:p>
    <w:p w:rsidRPr="009F4300" w:rsidR="00F238C5" w:rsidP="00F238C5" w:rsidRDefault="00AF6861" w14:paraId="41F9402D" w14:textId="4B78D421">
      <w:pPr>
        <w:pStyle w:val="ssNoHeading3"/>
      </w:pPr>
      <w:r>
        <w:rPr>
          <w:w w:val="0"/>
        </w:rPr>
        <w:t>limited issue Accumulation Units</w:t>
      </w:r>
      <w:r w:rsidRPr="009F4300" w:rsidR="00F238C5">
        <w:rPr>
          <w:w w:val="0"/>
        </w:rPr>
        <w:t>;</w:t>
      </w:r>
      <w:r w:rsidRPr="009F4300" w:rsidR="00F238C5">
        <w:t xml:space="preserve"> and</w:t>
      </w:r>
    </w:p>
    <w:p w:rsidRPr="009F4300" w:rsidR="00F238C5" w:rsidP="004676FE" w:rsidRDefault="00AF6861" w14:paraId="121FC442" w14:textId="13DA9ABB">
      <w:pPr>
        <w:pStyle w:val="ssNoHeading3"/>
      </w:pPr>
      <w:r>
        <w:t>limited issue Income Units</w:t>
      </w:r>
      <w:r w:rsidR="000B74DB">
        <w:t>.</w:t>
      </w:r>
      <w:r w:rsidR="00D53641">
        <w:t>]</w:t>
      </w:r>
      <w:r w:rsidR="00D53641">
        <w:rPr>
          <w:rStyle w:val="EndnoteReference"/>
        </w:rPr>
        <w:endnoteReference w:id="21"/>
      </w:r>
    </w:p>
    <w:p w:rsidRPr="00153CF8" w:rsidR="00F238C5" w:rsidP="00153CF8" w:rsidRDefault="00153CF8" w14:paraId="67B8DD82" w14:textId="55EF07A0">
      <w:pPr>
        <w:pStyle w:val="ssNoHeading2"/>
        <w:numPr>
          <w:ilvl w:val="0"/>
          <w:numId w:val="0"/>
        </w:numPr>
        <w:ind w:left="709"/>
      </w:pPr>
      <w:r>
        <w:t>Each Class may use one or more of the letters “A” to “Z” (inclusive and through the use of one or more letters together or in any sequence but, for the avoidance of doubt, only where such sequence of letters does not form a word in the English language, with the exception of any word or abbreviation included to indicate the currency of denomination of the relevant Unit or to reference the applicability or otherwise of such units with respect to the benefit of any rights to amounts that will or may relate to benefits under any relevant double tax treaty) and/or the digits “0” to “9” (inclusive) and/or “</w:t>
      </w:r>
      <w:r>
        <w:rPr>
          <w:i/>
          <w:iCs/>
        </w:rPr>
        <w:t>retail</w:t>
      </w:r>
      <w:r>
        <w:t>”, “</w:t>
      </w:r>
      <w:r>
        <w:rPr>
          <w:i/>
          <w:iCs/>
        </w:rPr>
        <w:t>institutional</w:t>
      </w:r>
      <w:r>
        <w:t>”, “</w:t>
      </w:r>
      <w:r>
        <w:rPr>
          <w:i/>
          <w:iCs/>
        </w:rPr>
        <w:t>platform</w:t>
      </w:r>
      <w:r>
        <w:t>” or other descriptions of the Classes and/or the characters “-”, “+”, “%” or “&amp;” and in upper or lower case or under such other designation as the Manager shall from time to time decide. In addition each of the above may be denominated in currencies other than the Base Currency to form further Classes as the Manager may from time to time decide and they may also be designated with different applicable rates of withholding tax or otherwise by tax status.</w:t>
      </w:r>
    </w:p>
    <w:p w:rsidRPr="009F4300" w:rsidR="00F238C5" w:rsidP="00F238C5" w:rsidRDefault="00F238C5" w14:paraId="3A16B3A5" w14:textId="0DC2BABA">
      <w:pPr>
        <w:pStyle w:val="ssNoHeading2"/>
        <w:rPr>
          <w:w w:val="0"/>
        </w:rPr>
      </w:pPr>
      <w:r w:rsidRPr="009F4300">
        <w:rPr>
          <w:w w:val="0"/>
        </w:rPr>
        <w:t xml:space="preserve">The Classes available for issue </w:t>
      </w:r>
      <w:r w:rsidR="004543A0">
        <w:rPr>
          <w:w w:val="0"/>
        </w:rPr>
        <w:t>[</w:t>
      </w:r>
      <w:r w:rsidRPr="009F4300">
        <w:rPr>
          <w:w w:val="0"/>
        </w:rPr>
        <w:t xml:space="preserve">in each </w:t>
      </w:r>
      <w:r w:rsidR="00D30F5C">
        <w:rPr>
          <w:w w:val="0"/>
        </w:rPr>
        <w:t>Sub-Fund</w:t>
      </w:r>
      <w:r w:rsidR="004543A0">
        <w:rPr>
          <w:w w:val="0"/>
        </w:rPr>
        <w:t>]</w:t>
      </w:r>
      <w:r w:rsidRPr="002B14E8" w:rsidR="004543A0">
        <w:rPr>
          <w:vertAlign w:val="superscript"/>
        </w:rPr>
        <w:t>2</w:t>
      </w:r>
      <w:r w:rsidRPr="009F4300">
        <w:rPr>
          <w:w w:val="0"/>
        </w:rPr>
        <w:t xml:space="preserve"> on the date of constitution of the </w:t>
      </w:r>
      <w:r w:rsidRPr="009F4300">
        <w:t>Scheme</w:t>
      </w:r>
      <w:r w:rsidRPr="009F4300">
        <w:rPr>
          <w:w w:val="0"/>
        </w:rPr>
        <w:t xml:space="preserve"> are those set out in </w:t>
      </w:r>
      <w:r w:rsidRPr="009F4300" w:rsidR="000B5792">
        <w:rPr>
          <w:w w:val="0"/>
        </w:rPr>
        <w:fldChar w:fldCharType="begin"/>
      </w:r>
      <w:r w:rsidRPr="009F4300" w:rsidR="000B5792">
        <w:rPr>
          <w:w w:val="0"/>
        </w:rPr>
        <w:instrText xml:space="preserve"> REF _Ref117249397 \n \h </w:instrText>
      </w:r>
      <w:r w:rsidRPr="009F4300" w:rsidR="000B5792">
        <w:rPr>
          <w:w w:val="0"/>
        </w:rPr>
      </w:r>
      <w:r w:rsidRPr="009F4300" w:rsidR="000B5792">
        <w:rPr>
          <w:w w:val="0"/>
        </w:rPr>
        <w:fldChar w:fldCharType="separate"/>
      </w:r>
      <w:r w:rsidR="00663122">
        <w:rPr>
          <w:w w:val="0"/>
          <w:cs/>
        </w:rPr>
        <w:t>‎</w:t>
      </w:r>
      <w:r w:rsidR="00663122">
        <w:rPr>
          <w:w w:val="0"/>
        </w:rPr>
        <w:t>Part 2</w:t>
      </w:r>
      <w:r w:rsidRPr="009F4300" w:rsidR="000B5792">
        <w:rPr>
          <w:w w:val="0"/>
        </w:rPr>
        <w:fldChar w:fldCharType="end"/>
      </w:r>
      <w:r w:rsidRPr="009F4300">
        <w:rPr>
          <w:w w:val="0"/>
        </w:rPr>
        <w:t xml:space="preserve"> of the Schedule.</w:t>
      </w:r>
    </w:p>
    <w:p w:rsidRPr="009F4300" w:rsidR="00F238C5" w:rsidP="00F238C5" w:rsidRDefault="00F238C5" w14:paraId="13F69E9B" w14:textId="5743FE7A">
      <w:pPr>
        <w:pStyle w:val="ssNoHeading2"/>
        <w:rPr>
          <w:w w:val="0"/>
        </w:rPr>
      </w:pPr>
      <w:r w:rsidRPr="009F4300">
        <w:rPr>
          <w:w w:val="0"/>
        </w:rPr>
        <w:t>The</w:t>
      </w:r>
      <w:r w:rsidRPr="009F4300">
        <w:t xml:space="preserve"> </w:t>
      </w:r>
      <w:r w:rsidR="00B21EE2">
        <w:t>Manager</w:t>
      </w:r>
      <w:r w:rsidRPr="009F4300">
        <w:rPr>
          <w:w w:val="0"/>
        </w:rPr>
        <w:t xml:space="preserve"> may from time to time create additional Classes </w:t>
      </w:r>
      <w:r w:rsidR="004543A0">
        <w:rPr>
          <w:w w:val="0"/>
        </w:rPr>
        <w:t>[</w:t>
      </w:r>
      <w:r w:rsidRPr="009F4300">
        <w:rPr>
          <w:w w:val="0"/>
        </w:rPr>
        <w:t xml:space="preserve">in respect of each </w:t>
      </w:r>
      <w:r w:rsidR="00D30F5C">
        <w:rPr>
          <w:w w:val="0"/>
        </w:rPr>
        <w:t>Sub-Fund</w:t>
      </w:r>
      <w:r w:rsidR="004543A0">
        <w:rPr>
          <w:w w:val="0"/>
        </w:rPr>
        <w:t>]</w:t>
      </w:r>
      <w:r w:rsidRPr="002B14E8" w:rsidR="004543A0">
        <w:rPr>
          <w:vertAlign w:val="superscript"/>
        </w:rPr>
        <w:t>2</w:t>
      </w:r>
      <w:r w:rsidRPr="009F4300">
        <w:rPr>
          <w:w w:val="0"/>
        </w:rPr>
        <w:t xml:space="preserve"> with such rights and in such terms as may be set out in </w:t>
      </w:r>
      <w:r w:rsidRPr="009F4300" w:rsidR="000B5792">
        <w:rPr>
          <w:w w:val="0"/>
        </w:rPr>
        <w:fldChar w:fldCharType="begin"/>
      </w:r>
      <w:r w:rsidRPr="009F4300" w:rsidR="000B5792">
        <w:rPr>
          <w:w w:val="0"/>
        </w:rPr>
        <w:instrText xml:space="preserve"> REF _Ref117249407 \n \h </w:instrText>
      </w:r>
      <w:r w:rsidRPr="009F4300" w:rsidR="000B5792">
        <w:rPr>
          <w:w w:val="0"/>
        </w:rPr>
      </w:r>
      <w:r w:rsidRPr="009F4300" w:rsidR="000B5792">
        <w:rPr>
          <w:w w:val="0"/>
        </w:rPr>
        <w:fldChar w:fldCharType="separate"/>
      </w:r>
      <w:r w:rsidR="00663122">
        <w:rPr>
          <w:w w:val="0"/>
          <w:cs/>
        </w:rPr>
        <w:t>‎</w:t>
      </w:r>
      <w:r w:rsidR="00663122">
        <w:rPr>
          <w:w w:val="0"/>
        </w:rPr>
        <w:t>Part 2</w:t>
      </w:r>
      <w:r w:rsidRPr="009F4300" w:rsidR="000B5792">
        <w:rPr>
          <w:w w:val="0"/>
        </w:rPr>
        <w:fldChar w:fldCharType="end"/>
      </w:r>
      <w:r w:rsidRPr="009F4300" w:rsidR="000B5792">
        <w:rPr>
          <w:w w:val="0"/>
        </w:rPr>
        <w:t xml:space="preserve"> </w:t>
      </w:r>
      <w:r w:rsidRPr="009F4300">
        <w:rPr>
          <w:w w:val="0"/>
        </w:rPr>
        <w:t>of the Schedule.</w:t>
      </w:r>
    </w:p>
    <w:p w:rsidRPr="009F4300" w:rsidR="00F238C5" w:rsidP="00F238C5" w:rsidRDefault="00F238C5" w14:paraId="772F55BB" w14:textId="20AD5B93">
      <w:pPr>
        <w:pStyle w:val="ssNoHeading2"/>
        <w:rPr>
          <w:w w:val="0"/>
        </w:rPr>
      </w:pPr>
      <w:r w:rsidRPr="009F4300">
        <w:rPr>
          <w:w w:val="0"/>
        </w:rPr>
        <w:t xml:space="preserve">Where a Class is denominated in a currency which is not the </w:t>
      </w:r>
      <w:r w:rsidR="00667DA5">
        <w:rPr>
          <w:w w:val="0"/>
        </w:rPr>
        <w:t>B</w:t>
      </w:r>
      <w:r w:rsidRPr="009F4300">
        <w:rPr>
          <w:w w:val="0"/>
        </w:rPr>
        <w:t xml:space="preserve">ase </w:t>
      </w:r>
      <w:r w:rsidR="00667DA5">
        <w:rPr>
          <w:w w:val="0"/>
        </w:rPr>
        <w:t>C</w:t>
      </w:r>
      <w:r w:rsidRPr="009F4300">
        <w:rPr>
          <w:w w:val="0"/>
        </w:rPr>
        <w:t>urrency</w:t>
      </w:r>
      <w:r w:rsidR="00667DA5">
        <w:rPr>
          <w:w w:val="0"/>
        </w:rPr>
        <w:t xml:space="preserve"> of the </w:t>
      </w:r>
      <w:r w:rsidR="004543A0">
        <w:rPr>
          <w:w w:val="0"/>
        </w:rPr>
        <w:t>Scheme</w:t>
      </w:r>
      <w:r w:rsidR="00667DA5">
        <w:rPr>
          <w:w w:val="0"/>
        </w:rPr>
        <w:t xml:space="preserve"> </w:t>
      </w:r>
      <w:r w:rsidR="004543A0">
        <w:rPr>
          <w:w w:val="0"/>
        </w:rPr>
        <w:t>[</w:t>
      </w:r>
      <w:r w:rsidR="00667DA5">
        <w:rPr>
          <w:w w:val="0"/>
        </w:rPr>
        <w:t>or the relevant Sub-Fund</w:t>
      </w:r>
      <w:r w:rsidRPr="009F4300">
        <w:rPr>
          <w:w w:val="0"/>
        </w:rPr>
        <w:t>,</w:t>
      </w:r>
      <w:r w:rsidR="004543A0">
        <w:rPr>
          <w:w w:val="0"/>
        </w:rPr>
        <w:t>]</w:t>
      </w:r>
      <w:r w:rsidRPr="002B14E8" w:rsidR="004543A0">
        <w:rPr>
          <w:vertAlign w:val="superscript"/>
        </w:rPr>
        <w:t>2</w:t>
      </w:r>
      <w:r w:rsidRPr="009F4300">
        <w:rPr>
          <w:w w:val="0"/>
        </w:rPr>
        <w:t xml:space="preserve"> Units shall be issued and redeemed and distributions paid on Units of that Class in accordance with the </w:t>
      </w:r>
      <w:r w:rsidR="00B21EE2">
        <w:rPr>
          <w:w w:val="0"/>
        </w:rPr>
        <w:t>Deed</w:t>
      </w:r>
      <w:r w:rsidRPr="009F4300">
        <w:rPr>
          <w:w w:val="0"/>
        </w:rPr>
        <w:t xml:space="preserve"> in the currency of that Class and statements of amounts or money or values included in statements and tax certificates shall also be given in the currency of that Class (whether or not also given in the </w:t>
      </w:r>
      <w:r w:rsidR="00667DA5">
        <w:rPr>
          <w:w w:val="0"/>
        </w:rPr>
        <w:t>B</w:t>
      </w:r>
      <w:r w:rsidRPr="009F4300">
        <w:rPr>
          <w:w w:val="0"/>
        </w:rPr>
        <w:t xml:space="preserve">ase </w:t>
      </w:r>
      <w:r w:rsidR="00667DA5">
        <w:rPr>
          <w:w w:val="0"/>
        </w:rPr>
        <w:t>C</w:t>
      </w:r>
      <w:r w:rsidRPr="009F4300">
        <w:rPr>
          <w:w w:val="0"/>
        </w:rPr>
        <w:t xml:space="preserve">urrency). Where it is necessary to convert one currency into another, conversions shall be made at a rate of </w:t>
      </w:r>
      <w:r w:rsidRPr="009F4300">
        <w:rPr>
          <w:w w:val="0"/>
        </w:rPr>
        <w:lastRenderedPageBreak/>
        <w:t xml:space="preserve">exchange decided by the </w:t>
      </w:r>
      <w:r w:rsidR="00B21EE2">
        <w:t>Manager</w:t>
      </w:r>
      <w:r w:rsidRPr="009F4300">
        <w:t xml:space="preserve"> </w:t>
      </w:r>
      <w:r w:rsidRPr="009F4300">
        <w:rPr>
          <w:w w:val="0"/>
        </w:rPr>
        <w:t>as being a rate that is not likely to result in any material prejudice to the interests of Unitholders or potential Unitholders of any Class.</w:t>
      </w:r>
    </w:p>
    <w:p w:rsidRPr="009F4300" w:rsidR="00F238C5" w:rsidP="00F238C5" w:rsidRDefault="00F238C5" w14:paraId="6DF8D454" w14:textId="4EB585CB">
      <w:pPr>
        <w:pStyle w:val="ssNoHeading2"/>
        <w:rPr>
          <w:w w:val="0"/>
        </w:rPr>
      </w:pPr>
      <w:r w:rsidRPr="009F4300">
        <w:rPr>
          <w:w w:val="0"/>
        </w:rPr>
        <w:t xml:space="preserve">Votes at meetings of the Scheme of which the Class forms part will be determined in accordance with the proportionate interests in the Scheme ascertained in accordance with </w:t>
      </w:r>
      <w:r w:rsidRPr="009F4300" w:rsidR="000B5792">
        <w:rPr>
          <w:w w:val="0"/>
        </w:rPr>
        <w:fldChar w:fldCharType="begin"/>
      </w:r>
      <w:r w:rsidRPr="009F4300" w:rsidR="000B5792">
        <w:rPr>
          <w:w w:val="0"/>
        </w:rPr>
        <w:instrText xml:space="preserve"> REF _Ref117249429 \n \h </w:instrText>
      </w:r>
      <w:r w:rsidRPr="009F4300" w:rsidR="000B5792">
        <w:rPr>
          <w:w w:val="0"/>
        </w:rPr>
      </w:r>
      <w:r w:rsidRPr="009F4300" w:rsidR="000B5792">
        <w:rPr>
          <w:w w:val="0"/>
        </w:rPr>
        <w:fldChar w:fldCharType="separate"/>
      </w:r>
      <w:r w:rsidR="00663122">
        <w:rPr>
          <w:w w:val="0"/>
          <w:cs/>
        </w:rPr>
        <w:t>‎</w:t>
      </w:r>
      <w:r w:rsidR="00663122">
        <w:rPr>
          <w:w w:val="0"/>
        </w:rPr>
        <w:t>Part 4</w:t>
      </w:r>
      <w:r w:rsidRPr="009F4300" w:rsidR="000B5792">
        <w:rPr>
          <w:w w:val="0"/>
        </w:rPr>
        <w:fldChar w:fldCharType="end"/>
      </w:r>
      <w:r w:rsidRPr="009F4300">
        <w:rPr>
          <w:w w:val="0"/>
        </w:rPr>
        <w:t xml:space="preserve"> of the Schedule.</w:t>
      </w:r>
    </w:p>
    <w:p w:rsidRPr="009F4300" w:rsidR="00F238C5" w:rsidP="00F238C5" w:rsidRDefault="00F238C5" w14:paraId="7DF67BD8" w14:textId="54B4DCE9">
      <w:pPr>
        <w:pStyle w:val="ssNoHeading2"/>
        <w:rPr>
          <w:w w:val="0"/>
        </w:rPr>
      </w:pPr>
      <w:bookmarkStart w:name="_Ref160541914" w:id="118"/>
      <w:r w:rsidRPr="009F4300">
        <w:rPr>
          <w:w w:val="0"/>
        </w:rPr>
        <w:t>For the avoidance of doubt, the rights attaching to a Class shall (unless otherwise expressly provided by the conditions of issue of such Units) be deemed not to be varied by:</w:t>
      </w:r>
      <w:bookmarkEnd w:id="118"/>
    </w:p>
    <w:p w:rsidRPr="009F4300" w:rsidR="00F238C5" w:rsidP="00F238C5" w:rsidRDefault="00F238C5" w14:paraId="73FA0BDF" w14:textId="41207E26">
      <w:pPr>
        <w:pStyle w:val="ssNoHeading3"/>
      </w:pPr>
      <w:r w:rsidRPr="009F4300">
        <w:rPr>
          <w:w w:val="0"/>
        </w:rPr>
        <w:t>the creation, allotment or issue of further Units of any Class ranking pari passu with them;</w:t>
      </w:r>
    </w:p>
    <w:p w:rsidRPr="009F4300" w:rsidR="00F238C5" w:rsidP="00F238C5" w:rsidRDefault="00F238C5" w14:paraId="5AA65455" w14:textId="155EA21C">
      <w:pPr>
        <w:pStyle w:val="ssNoHeading3"/>
      </w:pPr>
      <w:r w:rsidRPr="009F4300">
        <w:rPr>
          <w:w w:val="0"/>
        </w:rPr>
        <w:t>the conversion of Units of any Class into Units of another Class</w:t>
      </w:r>
      <w:r w:rsidR="00236290">
        <w:rPr>
          <w:w w:val="0"/>
        </w:rPr>
        <w:t xml:space="preserve"> </w:t>
      </w:r>
      <w:r w:rsidR="00236290">
        <w:t>(whether or not the Classes are issued in respect of different Sub-Funds)</w:t>
      </w:r>
      <w:r w:rsidRPr="009F4300">
        <w:rPr>
          <w:w w:val="0"/>
        </w:rPr>
        <w:t>;</w:t>
      </w:r>
    </w:p>
    <w:p w:rsidRPr="009F4300" w:rsidR="00F238C5" w:rsidP="00F238C5" w:rsidRDefault="00F238C5" w14:paraId="39FE377E" w14:textId="1918C720">
      <w:pPr>
        <w:pStyle w:val="ssNoHeading3"/>
      </w:pPr>
      <w:r w:rsidRPr="009F4300">
        <w:rPr>
          <w:w w:val="0"/>
        </w:rPr>
        <w:t>the creation, allotment, issue or redemption of Units of another Class</w:t>
      </w:r>
      <w:r w:rsidR="00153CF8">
        <w:rPr>
          <w:w w:val="0"/>
        </w:rPr>
        <w:t xml:space="preserve"> within the same Sub-Fund</w:t>
      </w:r>
      <w:r w:rsidRPr="009F4300">
        <w:rPr>
          <w:w w:val="0"/>
        </w:rPr>
        <w:t xml:space="preserve">, provided that the interests of that other Class represent fairly the financial contributions and benefits of Unitholders of that Class; </w:t>
      </w:r>
    </w:p>
    <w:p w:rsidRPr="009F4300" w:rsidR="00F238C5" w:rsidP="00F238C5" w:rsidRDefault="00F238C5" w14:paraId="68A3A4DA" w14:textId="7FF86E13">
      <w:pPr>
        <w:pStyle w:val="ssNoHeading3"/>
      </w:pPr>
      <w:r w:rsidRPr="009F4300">
        <w:rPr>
          <w:w w:val="0"/>
        </w:rPr>
        <w:t>the winding up of a Class</w:t>
      </w:r>
      <w:r w:rsidR="00236290">
        <w:rPr>
          <w:w w:val="0"/>
        </w:rPr>
        <w:t xml:space="preserve"> of Unit</w:t>
      </w:r>
      <w:r w:rsidRPr="009F4300">
        <w:rPr>
          <w:w w:val="0"/>
        </w:rPr>
        <w:t>;</w:t>
      </w:r>
    </w:p>
    <w:p w:rsidRPr="00236290" w:rsidR="00236290" w:rsidP="001E0B2F" w:rsidRDefault="00236290" w14:paraId="0619C471" w14:textId="6670ECDD">
      <w:pPr>
        <w:pStyle w:val="ssNoHeading3"/>
        <w:numPr>
          <w:ilvl w:val="3"/>
          <w:numId w:val="76"/>
        </w:numPr>
      </w:pPr>
      <w:r>
        <w:t>the creation, issue or redemption of Units of another Sub-Fund; and</w:t>
      </w:r>
    </w:p>
    <w:p w:rsidRPr="009F4300" w:rsidR="00F238C5" w:rsidP="00F238C5" w:rsidRDefault="00F238C5" w14:paraId="68F8355B" w14:textId="4D4FB684">
      <w:pPr>
        <w:pStyle w:val="ssNoHeading3"/>
      </w:pPr>
      <w:r w:rsidRPr="009F4300">
        <w:rPr>
          <w:w w:val="0"/>
        </w:rPr>
        <w:t>the passing of any resolution at a meeting of Unitholders in another Class which does not relate to the first Class.</w:t>
      </w:r>
    </w:p>
    <w:p w:rsidR="00236290" w:rsidP="001E0B2F" w:rsidRDefault="00236290" w14:paraId="0997BA72" w14:textId="77777777">
      <w:pPr>
        <w:pStyle w:val="ssNoHeading2"/>
        <w:numPr>
          <w:ilvl w:val="2"/>
          <w:numId w:val="76"/>
        </w:numPr>
      </w:pPr>
      <w:r>
        <w:rPr>
          <w:lang w:bidi="he-IL"/>
        </w:rPr>
        <w:t>S</w:t>
      </w:r>
      <w:bookmarkStart w:name="_Ref379893671" w:id="119"/>
      <w:r>
        <w:rPr>
          <w:lang w:bidi="he-IL"/>
        </w:rPr>
        <w:t>ubject to and in accordance with the Act, the FCA Rules and the Prospectus, the Manager may from time to time:</w:t>
      </w:r>
    </w:p>
    <w:p w:rsidR="00236290" w:rsidP="001E0B2F" w:rsidRDefault="00236290" w14:paraId="1CD866BB" w14:textId="77777777">
      <w:pPr>
        <w:pStyle w:val="ssNoHeading3"/>
        <w:numPr>
          <w:ilvl w:val="3"/>
          <w:numId w:val="76"/>
        </w:numPr>
        <w:rPr>
          <w:szCs w:val="26"/>
        </w:rPr>
      </w:pPr>
      <w:r>
        <w:rPr>
          <w:lang w:bidi="he-IL"/>
        </w:rPr>
        <w:t xml:space="preserve">close any Sub-Fund or any Class to new subscriptions; and/or </w:t>
      </w:r>
    </w:p>
    <w:p w:rsidR="00236290" w:rsidP="001E0B2F" w:rsidRDefault="00236290" w14:paraId="34E9DA11" w14:textId="77777777">
      <w:pPr>
        <w:pStyle w:val="ssNoHeading3"/>
        <w:numPr>
          <w:ilvl w:val="3"/>
          <w:numId w:val="76"/>
        </w:numPr>
        <w:rPr>
          <w:szCs w:val="26"/>
        </w:rPr>
      </w:pPr>
      <w:r>
        <w:rPr>
          <w:lang w:bidi="he-IL"/>
        </w:rPr>
        <w:t>close any Class,</w:t>
      </w:r>
    </w:p>
    <w:p w:rsidR="00236290" w:rsidP="00236290" w:rsidRDefault="00236290" w14:paraId="0A5F989E" w14:textId="77777777">
      <w:pPr>
        <w:pStyle w:val="ssNoHeading2"/>
        <w:numPr>
          <w:ilvl w:val="0"/>
          <w:numId w:val="0"/>
        </w:numPr>
        <w:ind w:left="709"/>
        <w:rPr>
          <w:lang w:bidi="he-IL"/>
        </w:rPr>
      </w:pPr>
      <w:r>
        <w:rPr>
          <w:lang w:bidi="he-IL"/>
        </w:rPr>
        <w:t>in each case, in circumstances where the Net Asset Value of the relevant Sub-Fund and/or Class (as applicable) is less, or greater, than (as applicable) a particular amount or the Manager decides that it is otherwise desirable to close that Sub-Fund and/or Class.</w:t>
      </w:r>
      <w:bookmarkEnd w:id="119"/>
    </w:p>
    <w:p w:rsidR="00236290" w:rsidP="001E0B2F" w:rsidRDefault="00236290" w14:paraId="30E62EA2" w14:textId="33339CC7">
      <w:pPr>
        <w:pStyle w:val="ssNoHeading2"/>
        <w:numPr>
          <w:ilvl w:val="2"/>
          <w:numId w:val="76"/>
        </w:numPr>
      </w:pPr>
      <w:r>
        <w:rPr>
          <w:szCs w:val="24"/>
          <w:lang w:bidi="he-IL"/>
        </w:rPr>
        <w:t>In the event that the Manager decides to close a Class or Classes, as applicable, in accordance with</w:t>
      </w:r>
      <w:r>
        <w:rPr>
          <w:lang w:bidi="he-IL"/>
        </w:rPr>
        <w:t xml:space="preserve"> </w:t>
      </w:r>
      <w:r w:rsidR="00314A95">
        <w:rPr>
          <w:lang w:bidi="he-IL"/>
        </w:rPr>
        <w:t>C</w:t>
      </w:r>
      <w:r>
        <w:rPr>
          <w:lang w:bidi="he-IL"/>
        </w:rPr>
        <w:t xml:space="preserve">lause </w:t>
      </w:r>
      <w:r>
        <w:rPr>
          <w:lang w:bidi="he-IL"/>
        </w:rPr>
        <w:fldChar w:fldCharType="begin"/>
      </w:r>
      <w:r>
        <w:rPr>
          <w:lang w:bidi="he-IL"/>
        </w:rPr>
        <w:instrText xml:space="preserve"> REF _Ref379893671 \r \h  \* MERGEFORMAT </w:instrText>
      </w:r>
      <w:r>
        <w:rPr>
          <w:lang w:bidi="he-IL"/>
        </w:rPr>
      </w:r>
      <w:r>
        <w:rPr>
          <w:lang w:bidi="he-IL"/>
        </w:rPr>
        <w:fldChar w:fldCharType="separate"/>
      </w:r>
      <w:r w:rsidR="00663122">
        <w:rPr>
          <w:cs/>
          <w:lang w:bidi="he-IL"/>
        </w:rPr>
        <w:t>‎</w:t>
      </w:r>
      <w:r w:rsidR="00663122">
        <w:rPr>
          <w:lang w:bidi="he-IL"/>
        </w:rPr>
        <w:t>15.8</w:t>
      </w:r>
      <w:r>
        <w:rPr>
          <w:lang w:bidi="he-IL"/>
        </w:rPr>
        <w:fldChar w:fldCharType="end"/>
      </w:r>
      <w:r>
        <w:rPr>
          <w:szCs w:val="24"/>
          <w:lang w:bidi="he-IL"/>
        </w:rPr>
        <w:t xml:space="preserve">, the Manager will </w:t>
      </w:r>
      <w:r>
        <w:t xml:space="preserve">treat each holder of Units of the Class or Classes, as applicable, concerned as if that Unitholder had served on the Manager an </w:t>
      </w:r>
      <w:r w:rsidR="0098332D">
        <w:t>s</w:t>
      </w:r>
      <w:r w:rsidR="007B6C2E">
        <w:t>witch</w:t>
      </w:r>
      <w:r>
        <w:t xml:space="preserve"> notice or notices pursuant to </w:t>
      </w:r>
      <w:r w:rsidR="00314A95">
        <w:t>C</w:t>
      </w:r>
      <w:r>
        <w:t xml:space="preserve">lause </w:t>
      </w:r>
      <w:r w:rsidR="007B6C2E">
        <w:rPr>
          <w:highlight w:val="yellow"/>
        </w:rPr>
        <w:fldChar w:fldCharType="begin"/>
      </w:r>
      <w:r w:rsidR="007B6C2E">
        <w:instrText xml:space="preserve"> REF _Ref117857363 \r \h </w:instrText>
      </w:r>
      <w:r w:rsidR="007B6C2E">
        <w:rPr>
          <w:highlight w:val="yellow"/>
        </w:rPr>
      </w:r>
      <w:r w:rsidR="007B6C2E">
        <w:rPr>
          <w:highlight w:val="yellow"/>
        </w:rPr>
        <w:fldChar w:fldCharType="separate"/>
      </w:r>
      <w:r w:rsidR="00663122">
        <w:rPr>
          <w:cs/>
        </w:rPr>
        <w:t>‎</w:t>
      </w:r>
      <w:r w:rsidR="00663122">
        <w:t>15.10</w:t>
      </w:r>
      <w:r w:rsidR="007B6C2E">
        <w:rPr>
          <w:highlight w:val="yellow"/>
        </w:rPr>
        <w:fldChar w:fldCharType="end"/>
      </w:r>
      <w:r>
        <w:t xml:space="preserve"> (</w:t>
      </w:r>
      <w:r w:rsidR="007B6C2E">
        <w:rPr>
          <w:i/>
          <w:iCs/>
        </w:rPr>
        <w:t>Switching</w:t>
      </w:r>
      <w:r>
        <w:rPr>
          <w:i/>
          <w:iCs/>
        </w:rPr>
        <w:t xml:space="preserve"> of Units etc)</w:t>
      </w:r>
      <w:r>
        <w:t xml:space="preserve"> requesting </w:t>
      </w:r>
      <w:r w:rsidR="007B6C2E">
        <w:t xml:space="preserve">a </w:t>
      </w:r>
      <w:r w:rsidR="0098332D">
        <w:t>s</w:t>
      </w:r>
      <w:r w:rsidR="007B6C2E">
        <w:t>witch</w:t>
      </w:r>
      <w:r>
        <w:t xml:space="preserve"> of all the relevant Units owned by such Unitholder for Units of the Class or Classes which, in the opinion of the Manager, such Unitholder is entitled to hold and most nearly equate to the Class or Classes held by that Unitholder.  </w:t>
      </w:r>
      <w:r>
        <w:rPr>
          <w:szCs w:val="24"/>
          <w:lang w:bidi="he-IL"/>
        </w:rPr>
        <w:t xml:space="preserve">In such circumstances the normal provisions relating to </w:t>
      </w:r>
      <w:r w:rsidR="0098332D">
        <w:rPr>
          <w:szCs w:val="24"/>
          <w:lang w:bidi="he-IL"/>
        </w:rPr>
        <w:t>s</w:t>
      </w:r>
      <w:r w:rsidR="007B6C2E">
        <w:rPr>
          <w:szCs w:val="24"/>
          <w:lang w:bidi="he-IL"/>
        </w:rPr>
        <w:t>witch</w:t>
      </w:r>
      <w:r>
        <w:rPr>
          <w:szCs w:val="24"/>
          <w:lang w:bidi="he-IL"/>
        </w:rPr>
        <w:t xml:space="preserve">es of Units shall apply save that such </w:t>
      </w:r>
      <w:r w:rsidR="0098332D">
        <w:rPr>
          <w:szCs w:val="24"/>
          <w:lang w:bidi="he-IL"/>
        </w:rPr>
        <w:t>s</w:t>
      </w:r>
      <w:r w:rsidR="007B6C2E">
        <w:rPr>
          <w:szCs w:val="24"/>
          <w:lang w:bidi="he-IL"/>
        </w:rPr>
        <w:t>witch</w:t>
      </w:r>
      <w:r>
        <w:rPr>
          <w:szCs w:val="24"/>
          <w:lang w:bidi="he-IL"/>
        </w:rPr>
        <w:t xml:space="preserve"> shall not be subject to any dilution levy, exchange fee or initial fee.  I</w:t>
      </w:r>
      <w:r>
        <w:t>f there is, in the opinion of the Manager, no suitable alternative Class or Classes, the Manager shall treat the Unitholder concerned as if it had given a request in writing for the redemption or cancellation (at the discretion of the Manager) of the affected Units pursuant to the Regulations.</w:t>
      </w:r>
    </w:p>
    <w:p w:rsidR="00153CF8" w:rsidP="009C4DB1" w:rsidRDefault="00153CF8" w14:paraId="4D041C01" w14:textId="5A80BA27">
      <w:pPr>
        <w:pStyle w:val="ssNoHeading2"/>
      </w:pPr>
      <w:bookmarkStart w:name="_DV_M125" w:id="120"/>
      <w:bookmarkStart w:name="_Ref118215154" w:id="121"/>
      <w:bookmarkStart w:name="_Ref117857363" w:id="122"/>
      <w:bookmarkEnd w:id="120"/>
      <w:r>
        <w:t xml:space="preserve">[Subject to the provisions of this Deed, any Unitholder may be granted preferential treatment or the right to obtain preferential treatment in relation to the terms of its investment in the Scheme </w:t>
      </w:r>
      <w:r w:rsidR="00790238">
        <w:t>[</w:t>
      </w:r>
      <w:r>
        <w:t>or any Sub-Fund</w:t>
      </w:r>
      <w:r w:rsidR="00790238">
        <w:t>]</w:t>
      </w:r>
      <w:r w:rsidRPr="002B14E8" w:rsidR="00790238">
        <w:rPr>
          <w:vertAlign w:val="superscript"/>
        </w:rPr>
        <w:t>2</w:t>
      </w:r>
      <w:r>
        <w:t xml:space="preserve"> by waiver or modification of the terms otherwise applicable to </w:t>
      </w:r>
      <w:r>
        <w:lastRenderedPageBreak/>
        <w:t xml:space="preserve">the relevant Unitholder’s investment in the Scheme </w:t>
      </w:r>
      <w:r w:rsidR="00790238">
        <w:t>[</w:t>
      </w:r>
      <w:r>
        <w:t>or any Sub-Fund</w:t>
      </w:r>
      <w:r w:rsidR="00790238">
        <w:t>]</w:t>
      </w:r>
      <w:r w:rsidRPr="002B14E8" w:rsidR="00790238">
        <w:rPr>
          <w:vertAlign w:val="superscript"/>
        </w:rPr>
        <w:t>2</w:t>
      </w:r>
      <w:r>
        <w:t>, without the consent of any other Unitholder.</w:t>
      </w:r>
      <w:r w:rsidR="009C4DB1">
        <w:t xml:space="preserve"> </w:t>
      </w:r>
      <w:bookmarkStart w:name="_Hlk153975002" w:id="123"/>
      <w:r w:rsidRPr="009C4DB1" w:rsidR="009C4DB1">
        <w:t>Information in relation to any</w:t>
      </w:r>
      <w:r w:rsidR="009C4DB1">
        <w:t xml:space="preserve"> </w:t>
      </w:r>
      <w:r w:rsidRPr="009C4DB1" w:rsidR="009C4DB1">
        <w:t xml:space="preserve">such preferential treatment, as required to be disclosed to investors under </w:t>
      </w:r>
      <w:r w:rsidR="005A54C9">
        <w:t>the FCA Rules</w:t>
      </w:r>
      <w:r w:rsidRPr="009C4DB1" w:rsidR="009C4DB1">
        <w:t>, will</w:t>
      </w:r>
      <w:r w:rsidR="009C4DB1">
        <w:t xml:space="preserve"> </w:t>
      </w:r>
      <w:r w:rsidRPr="009C4DB1" w:rsidR="009C4DB1">
        <w:t>be disclosed in the Prospectus from time to time, and may be amended at the Manager’s</w:t>
      </w:r>
      <w:r w:rsidR="009C4DB1">
        <w:t xml:space="preserve"> discretion.</w:t>
      </w:r>
      <w:r>
        <w:t>]</w:t>
      </w:r>
      <w:bookmarkEnd w:id="121"/>
      <w:r w:rsidR="009C4DB1">
        <w:rPr>
          <w:rStyle w:val="EndnoteReference"/>
        </w:rPr>
        <w:endnoteReference w:id="22"/>
      </w:r>
      <w:bookmarkEnd w:id="123"/>
    </w:p>
    <w:p w:rsidR="00153CF8" w:rsidP="001E0B2F" w:rsidRDefault="00153CF8" w14:paraId="5026DA73" w14:textId="77777777">
      <w:pPr>
        <w:pStyle w:val="Heading1"/>
        <w:numPr>
          <w:ilvl w:val="1"/>
          <w:numId w:val="76"/>
        </w:numPr>
        <w:rPr>
          <w:spacing w:val="-2"/>
        </w:rPr>
      </w:pPr>
      <w:bookmarkStart w:name="_Ref102939785" w:id="124"/>
      <w:bookmarkStart w:name="_Toc116651804" w:id="125"/>
      <w:bookmarkStart w:name="_Ref117866075" w:id="126"/>
      <w:bookmarkStart w:name="_Toc179391845" w:id="127"/>
      <w:r>
        <w:rPr>
          <w:spacing w:val="-2"/>
        </w:rPr>
        <w:t>[Side pockets]</w:t>
      </w:r>
      <w:bookmarkEnd w:id="124"/>
      <w:r w:rsidRPr="00237770">
        <w:rPr>
          <w:rStyle w:val="EndnoteReference"/>
          <w:b w:val="0"/>
          <w:bCs w:val="0"/>
          <w:spacing w:val="-2"/>
          <w:u w:val="none"/>
        </w:rPr>
        <w:endnoteReference w:id="23"/>
      </w:r>
      <w:bookmarkEnd w:id="125"/>
      <w:bookmarkEnd w:id="126"/>
      <w:bookmarkEnd w:id="127"/>
    </w:p>
    <w:p w:rsidR="00153CF8" w:rsidP="001E0B2F" w:rsidRDefault="00153CF8" w14:paraId="7D9740F2" w14:textId="06900840">
      <w:pPr>
        <w:pStyle w:val="ssNoHeading2"/>
        <w:numPr>
          <w:ilvl w:val="2"/>
          <w:numId w:val="76"/>
        </w:numPr>
        <w:rPr>
          <w:spacing w:val="-2"/>
        </w:rPr>
      </w:pPr>
      <w:bookmarkStart w:name="_Ref118278299" w:id="128"/>
      <w:bookmarkStart w:name="_Ref95062926" w:id="129"/>
      <w:bookmarkStart w:name="_Ref95067261" w:id="130"/>
      <w:r>
        <w:rPr>
          <w:spacing w:val="-2"/>
        </w:rPr>
        <w:t>[Without prejudice to the generality of Clause</w:t>
      </w:r>
      <w:r w:rsidR="0041310A">
        <w:rPr>
          <w:spacing w:val="-2"/>
        </w:rPr>
        <w:t xml:space="preserve"> </w:t>
      </w:r>
      <w:r w:rsidR="0041310A">
        <w:rPr>
          <w:spacing w:val="-2"/>
        </w:rPr>
        <w:fldChar w:fldCharType="begin"/>
      </w:r>
      <w:r w:rsidR="0041310A">
        <w:rPr>
          <w:spacing w:val="-2"/>
        </w:rPr>
        <w:instrText xml:space="preserve"> REF _Ref117864585 \r \h </w:instrText>
      </w:r>
      <w:r w:rsidR="0041310A">
        <w:rPr>
          <w:spacing w:val="-2"/>
        </w:rPr>
      </w:r>
      <w:r w:rsidR="0041310A">
        <w:rPr>
          <w:spacing w:val="-2"/>
        </w:rPr>
        <w:fldChar w:fldCharType="separate"/>
      </w:r>
      <w:r w:rsidR="00663122">
        <w:rPr>
          <w:spacing w:val="-2"/>
          <w:cs/>
        </w:rPr>
        <w:t>‎</w:t>
      </w:r>
      <w:r w:rsidR="00663122">
        <w:rPr>
          <w:spacing w:val="-2"/>
        </w:rPr>
        <w:t>15</w:t>
      </w:r>
      <w:r w:rsidR="0041310A">
        <w:rPr>
          <w:spacing w:val="-2"/>
        </w:rPr>
        <w:fldChar w:fldCharType="end"/>
      </w:r>
      <w:r>
        <w:rPr>
          <w:spacing w:val="-2"/>
        </w:rPr>
        <w:t xml:space="preserve">, and subject to the terms of this </w:t>
      </w:r>
      <w:r w:rsidR="001D68C4">
        <w:rPr>
          <w:spacing w:val="-2"/>
        </w:rPr>
        <w:t xml:space="preserve">Deed </w:t>
      </w:r>
      <w:r>
        <w:rPr>
          <w:spacing w:val="-2"/>
        </w:rPr>
        <w:t xml:space="preserve">and the Prospectus and to the Regulations, [where the </w:t>
      </w:r>
      <w:r w:rsidR="001D68C4">
        <w:rPr>
          <w:spacing w:val="-2"/>
        </w:rPr>
        <w:t>Manager</w:t>
      </w:r>
      <w:r>
        <w:rPr>
          <w:spacing w:val="-2"/>
        </w:rPr>
        <w:t xml:space="preserve"> considers that it is in the interests of Unitholders of [a </w:t>
      </w:r>
      <w:r w:rsidR="001D68C4">
        <w:rPr>
          <w:spacing w:val="-2"/>
        </w:rPr>
        <w:t>Sub-</w:t>
      </w:r>
      <w:r>
        <w:rPr>
          <w:spacing w:val="-2"/>
        </w:rPr>
        <w:t>Fund</w:t>
      </w:r>
      <w:r w:rsidR="00790238">
        <w:rPr>
          <w:spacing w:val="-2"/>
        </w:rPr>
        <w:t xml:space="preserve"> </w:t>
      </w:r>
      <w:r>
        <w:rPr>
          <w:spacing w:val="-2"/>
        </w:rPr>
        <w:t>/</w:t>
      </w:r>
      <w:r w:rsidR="00790238">
        <w:rPr>
          <w:spacing w:val="-2"/>
        </w:rPr>
        <w:t xml:space="preserve"> </w:t>
      </w:r>
      <w:r>
        <w:rPr>
          <w:spacing w:val="-2"/>
        </w:rPr>
        <w:t xml:space="preserve">the </w:t>
      </w:r>
      <w:r w:rsidR="001D68C4">
        <w:rPr>
          <w:spacing w:val="-2"/>
        </w:rPr>
        <w:t>Scheme</w:t>
      </w:r>
      <w:r>
        <w:rPr>
          <w:spacing w:val="-2"/>
        </w:rPr>
        <w:t>]</w:t>
      </w:r>
      <w:r w:rsidRPr="002B14E8" w:rsidR="00790238">
        <w:rPr>
          <w:vertAlign w:val="superscript"/>
        </w:rPr>
        <w:t>2</w:t>
      </w:r>
      <w:r>
        <w:rPr>
          <w:spacing w:val="-2"/>
        </w:rPr>
        <w:t xml:space="preserve">, the </w:t>
      </w:r>
      <w:r w:rsidR="001D68C4">
        <w:rPr>
          <w:spacing w:val="-2"/>
        </w:rPr>
        <w:t>Manager</w:t>
      </w:r>
      <w:r>
        <w:rPr>
          <w:spacing w:val="-2"/>
        </w:rPr>
        <w:t xml:space="preserve"> may at any time and at its discretion] create and issue from time to time a new Class or Classes of </w:t>
      </w:r>
      <w:r w:rsidR="001D68C4">
        <w:rPr>
          <w:spacing w:val="-2"/>
        </w:rPr>
        <w:t>Units</w:t>
      </w:r>
      <w:r>
        <w:rPr>
          <w:spacing w:val="-2"/>
        </w:rPr>
        <w:t xml:space="preserve"> (each a “</w:t>
      </w:r>
      <w:r w:rsidRPr="001D68C4">
        <w:rPr>
          <w:b/>
          <w:bCs w:val="0"/>
          <w:spacing w:val="-2"/>
        </w:rPr>
        <w:t>Special Investment Class</w:t>
      </w:r>
      <w:r>
        <w:rPr>
          <w:spacing w:val="-2"/>
        </w:rPr>
        <w:t xml:space="preserve">”) to which </w:t>
      </w:r>
      <w:r w:rsidRPr="00493145">
        <w:rPr>
          <w:spacing w:val="-2"/>
        </w:rPr>
        <w:t>Side Pocket Assets</w:t>
      </w:r>
      <w:r>
        <w:rPr>
          <w:spacing w:val="-2"/>
        </w:rPr>
        <w:t xml:space="preserve"> shall be allocated or contributed.</w:t>
      </w:r>
      <w:bookmarkEnd w:id="128"/>
      <w:r>
        <w:rPr>
          <w:spacing w:val="-2"/>
        </w:rPr>
        <w:t xml:space="preserve"> </w:t>
      </w:r>
    </w:p>
    <w:p w:rsidR="00153CF8" w:rsidP="001E0B2F" w:rsidRDefault="00153CF8" w14:paraId="2EA37595" w14:textId="1BF45B31">
      <w:pPr>
        <w:pStyle w:val="ssNoHeading2"/>
        <w:numPr>
          <w:ilvl w:val="2"/>
          <w:numId w:val="76"/>
        </w:numPr>
        <w:rPr>
          <w:spacing w:val="-2"/>
        </w:rPr>
      </w:pPr>
      <w:bookmarkStart w:name="_Ref102940085" w:id="131"/>
      <w:r>
        <w:rPr>
          <w:spacing w:val="-2"/>
        </w:rPr>
        <w:t xml:space="preserve">The creation of </w:t>
      </w:r>
      <w:r w:rsidR="001D68C4">
        <w:rPr>
          <w:spacing w:val="-2"/>
        </w:rPr>
        <w:t>Units</w:t>
      </w:r>
      <w:r>
        <w:rPr>
          <w:spacing w:val="-2"/>
        </w:rPr>
        <w:t xml:space="preserve"> in a Special Investment Class (“</w:t>
      </w:r>
      <w:r w:rsidRPr="001D68C4">
        <w:rPr>
          <w:b/>
          <w:bCs w:val="0"/>
          <w:spacing w:val="-2"/>
        </w:rPr>
        <w:t xml:space="preserve">Special Investment </w:t>
      </w:r>
      <w:r w:rsidRPr="001D68C4" w:rsidR="001D68C4">
        <w:rPr>
          <w:b/>
          <w:bCs w:val="0"/>
          <w:spacing w:val="-2"/>
        </w:rPr>
        <w:t>Units</w:t>
      </w:r>
      <w:r>
        <w:rPr>
          <w:spacing w:val="-2"/>
        </w:rPr>
        <w:t xml:space="preserve">”) will involve the </w:t>
      </w:r>
      <w:r w:rsidR="001D68C4">
        <w:rPr>
          <w:spacing w:val="-2"/>
        </w:rPr>
        <w:t>Manager</w:t>
      </w:r>
      <w:r>
        <w:rPr>
          <w:spacing w:val="-2"/>
        </w:rPr>
        <w:t xml:space="preserve"> effecting a pro-rata reduction in the number or value of </w:t>
      </w:r>
      <w:r w:rsidR="001D68C4">
        <w:rPr>
          <w:spacing w:val="-2"/>
        </w:rPr>
        <w:t>Units</w:t>
      </w:r>
      <w:r>
        <w:rPr>
          <w:spacing w:val="-2"/>
        </w:rPr>
        <w:t xml:space="preserve"> held by a </w:t>
      </w:r>
      <w:r w:rsidR="001D68C4">
        <w:t>Unitholder</w:t>
      </w:r>
      <w:r>
        <w:rPr>
          <w:spacing w:val="-2"/>
        </w:rPr>
        <w:t xml:space="preserve"> attributable to the [relevant </w:t>
      </w:r>
      <w:r w:rsidR="001D68C4">
        <w:rPr>
          <w:spacing w:val="-2"/>
        </w:rPr>
        <w:t>Sub-</w:t>
      </w:r>
      <w:r>
        <w:rPr>
          <w:spacing w:val="-2"/>
        </w:rPr>
        <w:t>Fund</w:t>
      </w:r>
      <w:r w:rsidR="00790238">
        <w:rPr>
          <w:spacing w:val="-2"/>
        </w:rPr>
        <w:t xml:space="preserve"> </w:t>
      </w:r>
      <w:r>
        <w:rPr>
          <w:spacing w:val="-2"/>
        </w:rPr>
        <w:t>/</w:t>
      </w:r>
      <w:r w:rsidR="00790238">
        <w:rPr>
          <w:spacing w:val="-2"/>
        </w:rPr>
        <w:t xml:space="preserve"> </w:t>
      </w:r>
      <w:r w:rsidR="001D68C4">
        <w:rPr>
          <w:spacing w:val="-2"/>
        </w:rPr>
        <w:t>Scheme</w:t>
      </w:r>
      <w:r>
        <w:rPr>
          <w:spacing w:val="-2"/>
        </w:rPr>
        <w:t>]</w:t>
      </w:r>
      <w:r>
        <w:rPr>
          <w:vertAlign w:val="superscript"/>
        </w:rPr>
        <w:t>2</w:t>
      </w:r>
      <w:r>
        <w:rPr>
          <w:spacing w:val="-2"/>
        </w:rPr>
        <w:t xml:space="preserve"> excluding the Side Pocket Assets attributable to the Special Investment </w:t>
      </w:r>
      <w:r w:rsidR="001D68C4">
        <w:rPr>
          <w:spacing w:val="-2"/>
        </w:rPr>
        <w:t>Units</w:t>
      </w:r>
      <w:r>
        <w:rPr>
          <w:spacing w:val="-2"/>
        </w:rPr>
        <w:t xml:space="preserve"> and creating for the benefit of such </w:t>
      </w:r>
      <w:r w:rsidR="001D68C4">
        <w:t>Unitholder</w:t>
      </w:r>
      <w:r>
        <w:t xml:space="preserve"> </w:t>
      </w:r>
      <w:r>
        <w:rPr>
          <w:spacing w:val="-2"/>
        </w:rPr>
        <w:t xml:space="preserve">a corresponding pro-rata interest in the Special Investment </w:t>
      </w:r>
      <w:r w:rsidR="001D68C4">
        <w:rPr>
          <w:spacing w:val="-2"/>
        </w:rPr>
        <w:t>Units</w:t>
      </w:r>
      <w:r>
        <w:rPr>
          <w:spacing w:val="-2"/>
        </w:rPr>
        <w:t>.</w:t>
      </w:r>
      <w:bookmarkEnd w:id="131"/>
      <w:r>
        <w:rPr>
          <w:spacing w:val="-2"/>
        </w:rPr>
        <w:t xml:space="preserve"> </w:t>
      </w:r>
    </w:p>
    <w:p w:rsidR="00153CF8" w:rsidP="001E0B2F" w:rsidRDefault="00153CF8" w14:paraId="4FE29DBC" w14:textId="24C4A7D5">
      <w:pPr>
        <w:pStyle w:val="ssNoHeading2"/>
        <w:numPr>
          <w:ilvl w:val="2"/>
          <w:numId w:val="76"/>
        </w:numPr>
        <w:rPr>
          <w:spacing w:val="-2"/>
        </w:rPr>
      </w:pPr>
      <w:r>
        <w:rPr>
          <w:spacing w:val="-2"/>
        </w:rPr>
        <w:t xml:space="preserve">The value of Side Pocket Assets shall be determined by the </w:t>
      </w:r>
      <w:r w:rsidR="001D68C4">
        <w:rPr>
          <w:spacing w:val="-2"/>
        </w:rPr>
        <w:t>Manager</w:t>
      </w:r>
      <w:r>
        <w:rPr>
          <w:spacing w:val="-2"/>
        </w:rPr>
        <w:t xml:space="preserve"> in a manner consistent with Clause </w:t>
      </w:r>
      <w:r w:rsidR="007E7CB9">
        <w:rPr>
          <w:spacing w:val="-2"/>
        </w:rPr>
        <w:t>[</w:t>
      </w:r>
      <w:r w:rsidR="001D68C4">
        <w:fldChar w:fldCharType="begin"/>
      </w:r>
      <w:r w:rsidR="001D68C4">
        <w:rPr>
          <w:spacing w:val="-2"/>
        </w:rPr>
        <w:instrText xml:space="preserve"> REF _Ref117864893 \r \h </w:instrText>
      </w:r>
      <w:r w:rsidR="001D68C4">
        <w:fldChar w:fldCharType="separate"/>
      </w:r>
      <w:r w:rsidR="00663122">
        <w:rPr>
          <w:spacing w:val="-2"/>
          <w:cs/>
        </w:rPr>
        <w:t>‎</w:t>
      </w:r>
      <w:r w:rsidR="00663122">
        <w:rPr>
          <w:spacing w:val="-2"/>
        </w:rPr>
        <w:t>19</w:t>
      </w:r>
      <w:r w:rsidR="001D68C4">
        <w:fldChar w:fldCharType="end"/>
      </w:r>
      <w:r w:rsidR="007E7CB9">
        <w:t>]</w:t>
      </w:r>
      <w:r>
        <w:rPr>
          <w:spacing w:val="-2"/>
        </w:rPr>
        <w:t xml:space="preserve">. </w:t>
      </w:r>
    </w:p>
    <w:p w:rsidR="00153CF8" w:rsidP="001E0B2F" w:rsidRDefault="00153CF8" w14:paraId="43CA0F83" w14:textId="41F917AD">
      <w:pPr>
        <w:pStyle w:val="ssNoHeading2"/>
        <w:numPr>
          <w:ilvl w:val="2"/>
          <w:numId w:val="76"/>
        </w:numPr>
        <w:rPr>
          <w:spacing w:val="-2"/>
        </w:rPr>
      </w:pPr>
      <w:r>
        <w:rPr>
          <w:spacing w:val="-2"/>
        </w:rPr>
        <w:t xml:space="preserve">Unless otherwise described in this Clause </w:t>
      </w:r>
      <w:r>
        <w:fldChar w:fldCharType="begin"/>
      </w:r>
      <w:r>
        <w:rPr>
          <w:spacing w:val="-2"/>
        </w:rPr>
        <w:instrText xml:space="preserve"> REF _Ref102939785 \r \h </w:instrText>
      </w:r>
      <w:r>
        <w:fldChar w:fldCharType="separate"/>
      </w:r>
      <w:r w:rsidR="00663122">
        <w:rPr>
          <w:spacing w:val="-2"/>
          <w:cs/>
        </w:rPr>
        <w:t>‎</w:t>
      </w:r>
      <w:r w:rsidR="00663122">
        <w:rPr>
          <w:spacing w:val="-2"/>
        </w:rPr>
        <w:t>16</w:t>
      </w:r>
      <w:r>
        <w:fldChar w:fldCharType="end"/>
      </w:r>
      <w:r>
        <w:rPr>
          <w:spacing w:val="-2"/>
        </w:rPr>
        <w:t xml:space="preserve"> or unless otherwise determined by the </w:t>
      </w:r>
      <w:r w:rsidR="001D68C4">
        <w:rPr>
          <w:spacing w:val="-2"/>
        </w:rPr>
        <w:t>Manager</w:t>
      </w:r>
      <w:r>
        <w:rPr>
          <w:spacing w:val="-2"/>
        </w:rPr>
        <w:t xml:space="preserve">, a Special Investment </w:t>
      </w:r>
      <w:r w:rsidR="001D68C4">
        <w:rPr>
          <w:spacing w:val="-2"/>
        </w:rPr>
        <w:t>Unit</w:t>
      </w:r>
      <w:r>
        <w:rPr>
          <w:spacing w:val="-2"/>
        </w:rPr>
        <w:t xml:space="preserve"> shall have the same rights and characteristics as a </w:t>
      </w:r>
      <w:r w:rsidR="001D68C4">
        <w:rPr>
          <w:spacing w:val="-2"/>
        </w:rPr>
        <w:t>Unit</w:t>
      </w:r>
      <w:r>
        <w:rPr>
          <w:spacing w:val="-2"/>
        </w:rPr>
        <w:t xml:space="preserve"> of any other Class. </w:t>
      </w:r>
      <w:r w:rsidR="001D68C4">
        <w:t>Unit</w:t>
      </w:r>
      <w:r>
        <w:t xml:space="preserve">holders </w:t>
      </w:r>
      <w:r>
        <w:rPr>
          <w:spacing w:val="-2"/>
        </w:rPr>
        <w:t xml:space="preserve">in Classes other than the Special Investment </w:t>
      </w:r>
      <w:r w:rsidR="001D68C4">
        <w:rPr>
          <w:spacing w:val="-2"/>
        </w:rPr>
        <w:t>Units</w:t>
      </w:r>
      <w:r>
        <w:rPr>
          <w:spacing w:val="-2"/>
        </w:rPr>
        <w:t xml:space="preserve"> shall not participate in the assets or liabilities attributable to those Special Investment </w:t>
      </w:r>
      <w:r w:rsidR="001D68C4">
        <w:rPr>
          <w:spacing w:val="-2"/>
        </w:rPr>
        <w:t>Units</w:t>
      </w:r>
      <w:r>
        <w:rPr>
          <w:spacing w:val="-2"/>
        </w:rPr>
        <w:t xml:space="preserve">, and the assets and liabilities attributable to the Special Investment </w:t>
      </w:r>
      <w:r w:rsidR="001D68C4">
        <w:rPr>
          <w:spacing w:val="-2"/>
        </w:rPr>
        <w:t>Units</w:t>
      </w:r>
      <w:r>
        <w:rPr>
          <w:spacing w:val="-2"/>
        </w:rPr>
        <w:t xml:space="preserve"> shall be segregated from and shall not form part of the other assets of the [relevant </w:t>
      </w:r>
      <w:r w:rsidR="001D68C4">
        <w:rPr>
          <w:spacing w:val="-2"/>
        </w:rPr>
        <w:t>Sub-</w:t>
      </w:r>
      <w:r>
        <w:rPr>
          <w:spacing w:val="-2"/>
        </w:rPr>
        <w:t>Fund</w:t>
      </w:r>
      <w:r w:rsidR="00790238">
        <w:rPr>
          <w:spacing w:val="-2"/>
        </w:rPr>
        <w:t xml:space="preserve"> </w:t>
      </w:r>
      <w:r>
        <w:rPr>
          <w:spacing w:val="-2"/>
        </w:rPr>
        <w:t>/</w:t>
      </w:r>
      <w:r w:rsidR="00790238">
        <w:rPr>
          <w:spacing w:val="-2"/>
        </w:rPr>
        <w:t xml:space="preserve"> </w:t>
      </w:r>
      <w:r w:rsidR="001D68C4">
        <w:rPr>
          <w:spacing w:val="-2"/>
        </w:rPr>
        <w:t>Scheme</w:t>
      </w:r>
      <w:r>
        <w:rPr>
          <w:spacing w:val="-2"/>
        </w:rPr>
        <w:t>]</w:t>
      </w:r>
      <w:r>
        <w:rPr>
          <w:vertAlign w:val="superscript"/>
        </w:rPr>
        <w:t>2</w:t>
      </w:r>
      <w:r>
        <w:rPr>
          <w:spacing w:val="-2"/>
        </w:rPr>
        <w:t xml:space="preserve">. </w:t>
      </w:r>
    </w:p>
    <w:p w:rsidR="00153CF8" w:rsidP="001E0B2F" w:rsidRDefault="00153CF8" w14:paraId="39C1E2BE" w14:textId="7694D22E">
      <w:pPr>
        <w:pStyle w:val="ssNoHeading2"/>
        <w:numPr>
          <w:ilvl w:val="2"/>
          <w:numId w:val="76"/>
        </w:numPr>
        <w:rPr>
          <w:spacing w:val="-2"/>
        </w:rPr>
      </w:pPr>
      <w:r>
        <w:rPr>
          <w:spacing w:val="-2"/>
        </w:rPr>
        <w:t xml:space="preserve">The liabilities of, or attributable to, a Special Investment </w:t>
      </w:r>
      <w:r w:rsidR="001D68C4">
        <w:rPr>
          <w:spacing w:val="-2"/>
        </w:rPr>
        <w:t>Unit</w:t>
      </w:r>
      <w:r>
        <w:rPr>
          <w:spacing w:val="-2"/>
        </w:rPr>
        <w:t xml:space="preserve"> shall be discharged solely out of the assets attributed to that Special Investment </w:t>
      </w:r>
      <w:r w:rsidR="001D68C4">
        <w:rPr>
          <w:spacing w:val="-2"/>
        </w:rPr>
        <w:t>Unit</w:t>
      </w:r>
      <w:r>
        <w:rPr>
          <w:spacing w:val="-2"/>
        </w:rPr>
        <w:t xml:space="preserve">. </w:t>
      </w:r>
    </w:p>
    <w:p w:rsidR="00153CF8" w:rsidP="001E0B2F" w:rsidRDefault="001D68C4" w14:paraId="5E2457CE" w14:textId="079B9EB3">
      <w:pPr>
        <w:pStyle w:val="ssNoHeading2"/>
        <w:numPr>
          <w:ilvl w:val="2"/>
          <w:numId w:val="76"/>
        </w:numPr>
        <w:rPr>
          <w:spacing w:val="-2"/>
        </w:rPr>
      </w:pPr>
      <w:bookmarkStart w:name="_Ref106109566" w:id="132"/>
      <w:r>
        <w:rPr>
          <w:spacing w:val="-2"/>
        </w:rPr>
        <w:t>Unit</w:t>
      </w:r>
      <w:r w:rsidR="00153CF8">
        <w:rPr>
          <w:spacing w:val="-2"/>
        </w:rPr>
        <w:t xml:space="preserve">holders shall be entitled to redeem </w:t>
      </w:r>
      <w:r>
        <w:rPr>
          <w:spacing w:val="-2"/>
        </w:rPr>
        <w:t>Units</w:t>
      </w:r>
      <w:r w:rsidR="00153CF8">
        <w:rPr>
          <w:spacing w:val="-2"/>
        </w:rPr>
        <w:t xml:space="preserve"> of any Class of Special Investment </w:t>
      </w:r>
      <w:r>
        <w:rPr>
          <w:spacing w:val="-2"/>
        </w:rPr>
        <w:t>Units</w:t>
      </w:r>
      <w:r w:rsidR="00153CF8">
        <w:rPr>
          <w:spacing w:val="-2"/>
        </w:rPr>
        <w:t xml:space="preserve"> once the </w:t>
      </w:r>
      <w:r>
        <w:rPr>
          <w:spacing w:val="-2"/>
        </w:rPr>
        <w:t>Manager</w:t>
      </w:r>
      <w:r w:rsidR="00153CF8">
        <w:rPr>
          <w:spacing w:val="-2"/>
        </w:rPr>
        <w:t xml:space="preserve"> has made a determination to accept redemption requests in relation to such Class.</w:t>
      </w:r>
      <w:bookmarkEnd w:id="132"/>
    </w:p>
    <w:p w:rsidR="00153CF8" w:rsidP="001E0B2F" w:rsidRDefault="00153CF8" w14:paraId="3349704C" w14:textId="168DDED6">
      <w:pPr>
        <w:pStyle w:val="ssNoHeading2"/>
        <w:numPr>
          <w:ilvl w:val="2"/>
          <w:numId w:val="76"/>
        </w:numPr>
        <w:rPr>
          <w:spacing w:val="-2"/>
        </w:rPr>
      </w:pPr>
      <w:r>
        <w:rPr>
          <w:spacing w:val="-2"/>
        </w:rPr>
        <w:t xml:space="preserve">Subject to the Regulations, the </w:t>
      </w:r>
      <w:r w:rsidR="001D68C4">
        <w:rPr>
          <w:spacing w:val="-2"/>
        </w:rPr>
        <w:t xml:space="preserve">Manager </w:t>
      </w:r>
      <w:r>
        <w:rPr>
          <w:spacing w:val="-2"/>
        </w:rPr>
        <w:t xml:space="preserve">may establish Special Investment </w:t>
      </w:r>
      <w:r w:rsidR="001D68C4">
        <w:rPr>
          <w:spacing w:val="-2"/>
        </w:rPr>
        <w:t>Units</w:t>
      </w:r>
      <w:r>
        <w:rPr>
          <w:spacing w:val="-2"/>
        </w:rPr>
        <w:t xml:space="preserve"> on terms other than or additional to those set out in this Clause </w:t>
      </w:r>
      <w:r>
        <w:fldChar w:fldCharType="begin"/>
      </w:r>
      <w:r>
        <w:rPr>
          <w:spacing w:val="-2"/>
        </w:rPr>
        <w:instrText xml:space="preserve"> REF _Ref102939785 \r \h </w:instrText>
      </w:r>
      <w:r>
        <w:fldChar w:fldCharType="separate"/>
      </w:r>
      <w:r w:rsidR="00663122">
        <w:rPr>
          <w:spacing w:val="-2"/>
          <w:cs/>
        </w:rPr>
        <w:t>‎</w:t>
      </w:r>
      <w:r w:rsidR="00663122">
        <w:rPr>
          <w:spacing w:val="-2"/>
        </w:rPr>
        <w:t>16</w:t>
      </w:r>
      <w:r>
        <w:fldChar w:fldCharType="end"/>
      </w:r>
      <w:r>
        <w:rPr>
          <w:spacing w:val="-2"/>
        </w:rPr>
        <w:t xml:space="preserve">  provided that such terms are detailed in the Prospectus.</w:t>
      </w:r>
      <w:bookmarkEnd w:id="129"/>
      <w:bookmarkEnd w:id="130"/>
    </w:p>
    <w:p w:rsidRPr="00153CF8" w:rsidR="00153CF8" w:rsidP="001E0B2F" w:rsidRDefault="00153CF8" w14:paraId="0DDB6B15" w14:textId="5C198A95">
      <w:pPr>
        <w:pStyle w:val="ssNoHeading2"/>
        <w:numPr>
          <w:ilvl w:val="2"/>
          <w:numId w:val="76"/>
        </w:numPr>
        <w:rPr>
          <w:spacing w:val="-2"/>
        </w:rPr>
      </w:pPr>
      <w:bookmarkStart w:name="_Ref115451922" w:id="133"/>
      <w:r>
        <w:t xml:space="preserve">Where the </w:t>
      </w:r>
      <w:r w:rsidR="001D68C4">
        <w:t>Manager</w:t>
      </w:r>
      <w:r>
        <w:t xml:space="preserve"> considers that it is no longer in the interests of the </w:t>
      </w:r>
      <w:r w:rsidR="001D68C4">
        <w:t>Unit</w:t>
      </w:r>
      <w:r>
        <w:t xml:space="preserve">holders of [a </w:t>
      </w:r>
      <w:r w:rsidR="004543A0">
        <w:t>Sub-</w:t>
      </w:r>
      <w:r>
        <w:t>Fund</w:t>
      </w:r>
      <w:r w:rsidR="00790238">
        <w:t xml:space="preserve"> </w:t>
      </w:r>
      <w:r>
        <w:t>/</w:t>
      </w:r>
      <w:r w:rsidR="00790238">
        <w:t xml:space="preserve"> </w:t>
      </w:r>
      <w:r>
        <w:t xml:space="preserve">the </w:t>
      </w:r>
      <w:r w:rsidR="001D68C4">
        <w:t>Scheme</w:t>
      </w:r>
      <w:r>
        <w:t>]</w:t>
      </w:r>
      <w:r>
        <w:rPr>
          <w:vertAlign w:val="superscript"/>
        </w:rPr>
        <w:t xml:space="preserve">2 </w:t>
      </w:r>
      <w:r>
        <w:t xml:space="preserve">maintain a pool of Side Pocket Assets or otherwise concludes that the Side Pocket Assets can be combined with the remaining assets of [the relevant </w:t>
      </w:r>
      <w:r w:rsidR="001D68C4">
        <w:t>Sub-Fund</w:t>
      </w:r>
      <w:r w:rsidR="00790238">
        <w:t xml:space="preserve"> </w:t>
      </w:r>
      <w:r>
        <w:t>/</w:t>
      </w:r>
      <w:r w:rsidR="00790238">
        <w:t xml:space="preserve"> </w:t>
      </w:r>
      <w:r>
        <w:t xml:space="preserve">the </w:t>
      </w:r>
      <w:r w:rsidR="008A7758">
        <w:t>Scheme</w:t>
      </w:r>
      <w:r>
        <w:t>]</w:t>
      </w:r>
      <w:r>
        <w:rPr>
          <w:vertAlign w:val="superscript"/>
        </w:rPr>
        <w:t>2</w:t>
      </w:r>
      <w:r>
        <w:t xml:space="preserve"> without any material prejudice to the </w:t>
      </w:r>
      <w:r w:rsidR="00C21A42">
        <w:t>Unit</w:t>
      </w:r>
      <w:r>
        <w:t xml:space="preserve">holders in [that </w:t>
      </w:r>
      <w:r w:rsidR="001D68C4">
        <w:t>Sub-</w:t>
      </w:r>
      <w:r>
        <w:t>Fund</w:t>
      </w:r>
      <w:r w:rsidR="00790238">
        <w:t xml:space="preserve"> </w:t>
      </w:r>
      <w:r>
        <w:t>/</w:t>
      </w:r>
      <w:r w:rsidR="00790238">
        <w:t xml:space="preserve"> </w:t>
      </w:r>
      <w:r>
        <w:t xml:space="preserve">the </w:t>
      </w:r>
      <w:r w:rsidR="001D68C4">
        <w:t>Scheme</w:t>
      </w:r>
      <w:r>
        <w:t>]</w:t>
      </w:r>
      <w:r>
        <w:rPr>
          <w:vertAlign w:val="superscript"/>
        </w:rPr>
        <w:t>2</w:t>
      </w:r>
      <w:r>
        <w:t xml:space="preserve">, the </w:t>
      </w:r>
      <w:r w:rsidR="001D68C4">
        <w:t>Manager</w:t>
      </w:r>
      <w:r>
        <w:t xml:space="preserve"> may, by giving [not less than 30 days'] prior written notice to the </w:t>
      </w:r>
      <w:r w:rsidR="001D68C4">
        <w:t>Unit</w:t>
      </w:r>
      <w:r>
        <w:t xml:space="preserve">holders in </w:t>
      </w:r>
      <w:r>
        <w:rPr>
          <w:spacing w:val="-2"/>
        </w:rPr>
        <w:t xml:space="preserve">[the relevant </w:t>
      </w:r>
      <w:r w:rsidR="001D68C4">
        <w:rPr>
          <w:spacing w:val="-2"/>
        </w:rPr>
        <w:t>Sub-</w:t>
      </w:r>
      <w:r>
        <w:rPr>
          <w:spacing w:val="-2"/>
        </w:rPr>
        <w:t>Fund</w:t>
      </w:r>
      <w:r w:rsidR="00790238">
        <w:rPr>
          <w:spacing w:val="-2"/>
        </w:rPr>
        <w:t xml:space="preserve"> </w:t>
      </w:r>
      <w:r>
        <w:rPr>
          <w:spacing w:val="-2"/>
        </w:rPr>
        <w:t>/</w:t>
      </w:r>
      <w:r w:rsidR="00790238">
        <w:rPr>
          <w:spacing w:val="-2"/>
        </w:rPr>
        <w:t xml:space="preserve"> </w:t>
      </w:r>
      <w:r>
        <w:rPr>
          <w:spacing w:val="-2"/>
        </w:rPr>
        <w:t xml:space="preserve">the </w:t>
      </w:r>
      <w:r w:rsidR="001D68C4">
        <w:rPr>
          <w:spacing w:val="-2"/>
        </w:rPr>
        <w:t>Scheme</w:t>
      </w:r>
      <w:r>
        <w:rPr>
          <w:spacing w:val="-2"/>
        </w:rPr>
        <w:t>]</w:t>
      </w:r>
      <w:r>
        <w:rPr>
          <w:vertAlign w:val="superscript"/>
        </w:rPr>
        <w:t>2</w:t>
      </w:r>
      <w:r>
        <w:rPr>
          <w:spacing w:val="-2"/>
        </w:rPr>
        <w:t xml:space="preserve"> be entitled to combine the relevant Side Pocket Assets with the remaining assets of [the </w:t>
      </w:r>
      <w:r w:rsidR="001D68C4">
        <w:rPr>
          <w:spacing w:val="-2"/>
        </w:rPr>
        <w:t>Sub-</w:t>
      </w:r>
      <w:r>
        <w:rPr>
          <w:spacing w:val="-2"/>
        </w:rPr>
        <w:t>Fund</w:t>
      </w:r>
      <w:r w:rsidR="00790238">
        <w:rPr>
          <w:spacing w:val="-2"/>
        </w:rPr>
        <w:t xml:space="preserve"> </w:t>
      </w:r>
      <w:r>
        <w:rPr>
          <w:spacing w:val="-2"/>
        </w:rPr>
        <w:t>/</w:t>
      </w:r>
      <w:r w:rsidR="00790238">
        <w:rPr>
          <w:spacing w:val="-2"/>
        </w:rPr>
        <w:t xml:space="preserve"> </w:t>
      </w:r>
      <w:r>
        <w:rPr>
          <w:spacing w:val="-2"/>
        </w:rPr>
        <w:t xml:space="preserve">the </w:t>
      </w:r>
      <w:r w:rsidR="001D68C4">
        <w:rPr>
          <w:spacing w:val="-2"/>
        </w:rPr>
        <w:t>Scheme</w:t>
      </w:r>
      <w:r>
        <w:rPr>
          <w:spacing w:val="-2"/>
        </w:rPr>
        <w:t>]</w:t>
      </w:r>
      <w:r>
        <w:rPr>
          <w:vertAlign w:val="superscript"/>
        </w:rPr>
        <w:t>2</w:t>
      </w:r>
      <w:r>
        <w:rPr>
          <w:spacing w:val="-2"/>
        </w:rPr>
        <w:t xml:space="preserve"> and convert the </w:t>
      </w:r>
      <w:r w:rsidR="001D68C4">
        <w:rPr>
          <w:spacing w:val="-2"/>
        </w:rPr>
        <w:t>Units</w:t>
      </w:r>
      <w:r>
        <w:rPr>
          <w:spacing w:val="-2"/>
        </w:rPr>
        <w:t xml:space="preserve"> in the relevant Special Investment Class into </w:t>
      </w:r>
      <w:r w:rsidR="001D68C4">
        <w:rPr>
          <w:spacing w:val="-2"/>
        </w:rPr>
        <w:t>Units</w:t>
      </w:r>
      <w:r>
        <w:rPr>
          <w:spacing w:val="-2"/>
        </w:rPr>
        <w:t xml:space="preserve"> of another Class which is not a Special Investment Class as appropriate and on such basis as is consistent with the requirements of the FCA Rules</w:t>
      </w:r>
      <w:bookmarkEnd w:id="133"/>
      <w:r>
        <w:rPr>
          <w:spacing w:val="-2"/>
        </w:rPr>
        <w:t>.]</w:t>
      </w:r>
    </w:p>
    <w:p w:rsidRPr="009F4300" w:rsidR="00F238C5" w:rsidP="00F238C5" w:rsidRDefault="002F62B4" w14:paraId="19CB349D" w14:textId="178C9F36">
      <w:pPr>
        <w:pStyle w:val="Heading1"/>
        <w:rPr>
          <w:b w:val="0"/>
          <w:bCs w:val="0"/>
          <w:u w:val="none"/>
        </w:rPr>
      </w:pPr>
      <w:bookmarkStart w:name="_Ref118215502" w:id="134"/>
      <w:bookmarkStart w:name="_Ref118215520" w:id="135"/>
      <w:bookmarkStart w:name="_Ref118215542" w:id="136"/>
      <w:bookmarkStart w:name="_Toc179391846" w:id="137"/>
      <w:r w:rsidRPr="009F4300">
        <w:t>S</w:t>
      </w:r>
      <w:bookmarkStart w:name="_Ref370893980" w:id="138"/>
      <w:bookmarkStart w:name="_Ref524970578" w:id="139"/>
      <w:bookmarkStart w:name="_Ref258317842" w:id="140"/>
      <w:r w:rsidRPr="009F4300">
        <w:t xml:space="preserve">witching </w:t>
      </w:r>
      <w:r w:rsidR="00C21A42">
        <w:t xml:space="preserve">and Conversion of </w:t>
      </w:r>
      <w:r w:rsidRPr="009F4300">
        <w:t>Units</w:t>
      </w:r>
      <w:bookmarkStart w:name="_NN962" w:id="141"/>
      <w:bookmarkEnd w:id="122"/>
      <w:bookmarkEnd w:id="134"/>
      <w:bookmarkEnd w:id="135"/>
      <w:bookmarkEnd w:id="136"/>
      <w:bookmarkEnd w:id="138"/>
      <w:bookmarkEnd w:id="141"/>
      <w:r w:rsidRPr="00237770" w:rsidR="00250312">
        <w:rPr>
          <w:rStyle w:val="EndnoteReference"/>
          <w:b w:val="0"/>
          <w:bCs w:val="0"/>
          <w:u w:val="none"/>
        </w:rPr>
        <w:endnoteReference w:id="24"/>
      </w:r>
      <w:bookmarkEnd w:id="137"/>
    </w:p>
    <w:p w:rsidRPr="009F4300" w:rsidR="00F238C5" w:rsidP="00F238C5" w:rsidRDefault="00767FB7" w14:paraId="23AE2D6C" w14:textId="05997F69">
      <w:pPr>
        <w:pStyle w:val="ssNoHeading2"/>
      </w:pPr>
      <w:bookmarkStart w:name="_Ref272132280" w:id="142"/>
      <w:r>
        <w:t>[</w:t>
      </w:r>
      <w:r w:rsidRPr="009F4300" w:rsidR="00F238C5">
        <w:t xml:space="preserve">Unitholders are entitled to </w:t>
      </w:r>
      <w:r w:rsidR="0098332D">
        <w:t>s</w:t>
      </w:r>
      <w:r w:rsidRPr="009F4300" w:rsidR="00F238C5">
        <w:t xml:space="preserve">witch Units in one </w:t>
      </w:r>
      <w:r w:rsidR="00D30F5C">
        <w:t>Sub-Fund</w:t>
      </w:r>
      <w:r w:rsidRPr="009F4300" w:rsidR="00F238C5">
        <w:t xml:space="preserve"> for Units in another </w:t>
      </w:r>
      <w:r w:rsidR="00D30F5C">
        <w:t>Sub-Fund</w:t>
      </w:r>
      <w:r w:rsidRPr="009F4300" w:rsidR="00F238C5">
        <w:t xml:space="preserve">, subject to the provisions of the Prospectus </w:t>
      </w:r>
      <w:r w:rsidR="00C21A42">
        <w:t>(including without limitation as to eligibility)</w:t>
      </w:r>
      <w:r w:rsidRPr="009F4300" w:rsidR="00F238C5">
        <w:t>.</w:t>
      </w:r>
      <w:r>
        <w:t>]</w:t>
      </w:r>
      <w:r w:rsidR="003B5236">
        <w:rPr>
          <w:rStyle w:val="EndnoteReference"/>
        </w:rPr>
        <w:endnoteReference w:id="25"/>
      </w:r>
      <w:r w:rsidRPr="009F4300" w:rsidR="00F238C5">
        <w:t xml:space="preserve"> </w:t>
      </w:r>
      <w:bookmarkEnd w:id="139"/>
      <w:bookmarkEnd w:id="140"/>
      <w:bookmarkEnd w:id="142"/>
    </w:p>
    <w:p w:rsidR="00F238C5" w:rsidP="00F238C5" w:rsidRDefault="00F238C5" w14:paraId="718A88F8" w14:textId="7EFE0277">
      <w:pPr>
        <w:pStyle w:val="ssNoHeading2"/>
      </w:pPr>
      <w:r w:rsidRPr="009F4300">
        <w:lastRenderedPageBreak/>
        <w:t xml:space="preserve">Unitholders are entitled to </w:t>
      </w:r>
      <w:r w:rsidR="00946669">
        <w:t>c</w:t>
      </w:r>
      <w:r w:rsidRPr="009F4300">
        <w:t xml:space="preserve">onvert Units in one Class </w:t>
      </w:r>
      <w:r w:rsidR="00767FB7">
        <w:t>[</w:t>
      </w:r>
      <w:r w:rsidRPr="009F4300">
        <w:t xml:space="preserve">in a </w:t>
      </w:r>
      <w:r w:rsidR="00D30F5C">
        <w:t>Sub-Fund</w:t>
      </w:r>
      <w:r w:rsidR="00767FB7">
        <w:t>]</w:t>
      </w:r>
      <w:r w:rsidRPr="002B14E8" w:rsidR="00767FB7">
        <w:rPr>
          <w:vertAlign w:val="superscript"/>
        </w:rPr>
        <w:t>2</w:t>
      </w:r>
      <w:r w:rsidRPr="009F4300">
        <w:t xml:space="preserve"> for Units in another Class </w:t>
      </w:r>
      <w:r w:rsidR="00767FB7">
        <w:t>[</w:t>
      </w:r>
      <w:r w:rsidRPr="009F4300">
        <w:t xml:space="preserve">in the same </w:t>
      </w:r>
      <w:r w:rsidR="00D30F5C">
        <w:t>Sub-Fund</w:t>
      </w:r>
      <w:r w:rsidR="00767FB7">
        <w:t>]</w:t>
      </w:r>
      <w:r w:rsidRPr="002B14E8" w:rsidR="00767FB7">
        <w:rPr>
          <w:vertAlign w:val="superscript"/>
        </w:rPr>
        <w:t>2</w:t>
      </w:r>
      <w:r w:rsidRPr="009F4300">
        <w:t xml:space="preserve">, subject to the provisions of the Prospectus </w:t>
      </w:r>
      <w:r w:rsidR="00C21A42">
        <w:t>(including without limitation as to eligibility)</w:t>
      </w:r>
      <w:r w:rsidRPr="009F4300">
        <w:t>.</w:t>
      </w:r>
      <w:r w:rsidR="003B5236">
        <w:rPr>
          <w:rStyle w:val="EndnoteReference"/>
        </w:rPr>
        <w:endnoteReference w:id="26"/>
      </w:r>
    </w:p>
    <w:p w:rsidR="00C21A42" w:rsidP="001E0B2F" w:rsidRDefault="00C21A42" w14:paraId="69E841D1" w14:textId="71B19E31">
      <w:pPr>
        <w:pStyle w:val="ssNoHeading2"/>
        <w:numPr>
          <w:ilvl w:val="2"/>
          <w:numId w:val="76"/>
        </w:numPr>
      </w:pPr>
      <w:r>
        <w:t xml:space="preserve">Where a </w:t>
      </w:r>
      <w:r w:rsidR="0098332D">
        <w:t>s</w:t>
      </w:r>
      <w:r>
        <w:t xml:space="preserve">witch or a conversion of </w:t>
      </w:r>
      <w:r w:rsidR="004A008A">
        <w:t>Unit</w:t>
      </w:r>
      <w:r>
        <w:t xml:space="preserve">s requested by a </w:t>
      </w:r>
      <w:r w:rsidR="004A008A">
        <w:t>Unitholder</w:t>
      </w:r>
      <w:r>
        <w:t xml:space="preserve"> would, if effected, result in that </w:t>
      </w:r>
      <w:r w:rsidR="004A008A">
        <w:t>Unitholder</w:t>
      </w:r>
      <w:r>
        <w:t xml:space="preserve"> holding less than the </w:t>
      </w:r>
      <w:r w:rsidRPr="0041310A">
        <w:t>permitted minimum holding</w:t>
      </w:r>
      <w:r>
        <w:t xml:space="preserve"> (by number or value) of either original </w:t>
      </w:r>
      <w:r w:rsidR="004A008A">
        <w:t>Unit</w:t>
      </w:r>
      <w:r>
        <w:t xml:space="preserve">s or new </w:t>
      </w:r>
      <w:r w:rsidR="004A008A">
        <w:t>Unit</w:t>
      </w:r>
      <w:r>
        <w:t xml:space="preserve">s as set out in the Prospectus, then the </w:t>
      </w:r>
      <w:r w:rsidR="004A008A">
        <w:t>Manager</w:t>
      </w:r>
      <w:r>
        <w:t xml:space="preserve"> may (at its discretion) decide either to:</w:t>
      </w:r>
    </w:p>
    <w:p w:rsidR="00C21A42" w:rsidP="001E0B2F" w:rsidRDefault="00C21A42" w14:paraId="0E31E1F2" w14:textId="2F2A105F">
      <w:pPr>
        <w:pStyle w:val="ssNoHeading3"/>
        <w:numPr>
          <w:ilvl w:val="3"/>
          <w:numId w:val="76"/>
        </w:numPr>
      </w:pPr>
      <w:r>
        <w:t xml:space="preserve">treat the </w:t>
      </w:r>
      <w:r w:rsidR="004A008A">
        <w:t>Unitholder</w:t>
      </w:r>
      <w:r>
        <w:t xml:space="preserve"> in question as having made a request in respect of their entire holding of original </w:t>
      </w:r>
      <w:r w:rsidR="004A008A">
        <w:t>Unit</w:t>
      </w:r>
      <w:r>
        <w:t xml:space="preserve">s; </w:t>
      </w:r>
    </w:p>
    <w:p w:rsidR="00C21A42" w:rsidP="001E0B2F" w:rsidRDefault="00C21A42" w14:paraId="2AB5AD6C" w14:textId="77777777">
      <w:pPr>
        <w:pStyle w:val="ssNoHeading3"/>
        <w:numPr>
          <w:ilvl w:val="3"/>
          <w:numId w:val="76"/>
        </w:numPr>
        <w:rPr>
          <w:spacing w:val="-2"/>
        </w:rPr>
      </w:pPr>
      <w:r>
        <w:t>refuse to give effect to the request; or</w:t>
      </w:r>
    </w:p>
    <w:p w:rsidR="00C21A42" w:rsidP="001E0B2F" w:rsidRDefault="00C21A42" w14:paraId="16CADE08" w14:textId="7D8A4786">
      <w:pPr>
        <w:pStyle w:val="ssNoHeading3"/>
        <w:numPr>
          <w:ilvl w:val="3"/>
          <w:numId w:val="76"/>
        </w:numPr>
        <w:rPr>
          <w:spacing w:val="-2"/>
        </w:rPr>
      </w:pPr>
      <w:r>
        <w:t xml:space="preserve">grant the request in its original form (as relevant, in accordance with </w:t>
      </w:r>
      <w:r w:rsidR="00314A95">
        <w:t>C</w:t>
      </w:r>
      <w:r>
        <w:t>lause</w:t>
      </w:r>
      <w:r w:rsidR="0041310A">
        <w:t xml:space="preserve"> </w:t>
      </w:r>
      <w:r w:rsidR="0041310A">
        <w:fldChar w:fldCharType="begin"/>
      </w:r>
      <w:r w:rsidR="0041310A">
        <w:instrText xml:space="preserve"> REF _Ref118215154 \r \h </w:instrText>
      </w:r>
      <w:r w:rsidR="0041310A">
        <w:fldChar w:fldCharType="separate"/>
      </w:r>
      <w:r w:rsidR="00663122">
        <w:rPr>
          <w:cs/>
        </w:rPr>
        <w:t>‎</w:t>
      </w:r>
      <w:r w:rsidR="00663122">
        <w:t>15.10</w:t>
      </w:r>
      <w:r w:rsidR="0041310A">
        <w:fldChar w:fldCharType="end"/>
      </w:r>
      <w:r w:rsidR="0041310A">
        <w:t>)</w:t>
      </w:r>
      <w:r>
        <w:t>.</w:t>
      </w:r>
    </w:p>
    <w:p w:rsidR="00C21A42" w:rsidP="001E0B2F" w:rsidRDefault="00C21A42" w14:paraId="7FB48B8E" w14:textId="31C6C0D9">
      <w:pPr>
        <w:pStyle w:val="ssNoHeading2"/>
        <w:numPr>
          <w:ilvl w:val="2"/>
          <w:numId w:val="76"/>
        </w:numPr>
      </w:pPr>
      <w:bookmarkStart w:name="_Ref517600233" w:id="143"/>
      <w:bookmarkStart w:name="_Ref95173651" w:id="144"/>
      <w:bookmarkEnd w:id="143"/>
      <w:r>
        <w:t xml:space="preserve">Where permitted by, and subject to the conditions set out in the Prospectus, the </w:t>
      </w:r>
      <w:r w:rsidR="004A008A">
        <w:t>Manager</w:t>
      </w:r>
      <w:r>
        <w:t xml:space="preserve"> may compulsorily convert a </w:t>
      </w:r>
      <w:r w:rsidR="004A008A">
        <w:t>Unitholder</w:t>
      </w:r>
      <w:r>
        <w:t xml:space="preserve">’s </w:t>
      </w:r>
      <w:r w:rsidR="004A008A">
        <w:t>Unit</w:t>
      </w:r>
      <w:r>
        <w:t xml:space="preserve">s </w:t>
      </w:r>
      <w:r w:rsidR="00767FB7">
        <w:t>[</w:t>
      </w:r>
      <w:r>
        <w:t xml:space="preserve">in a </w:t>
      </w:r>
      <w:r w:rsidR="004A008A">
        <w:t>Sub-</w:t>
      </w:r>
      <w:r>
        <w:t>Fund</w:t>
      </w:r>
      <w:r w:rsidR="00767FB7">
        <w:t>]</w:t>
      </w:r>
      <w:r w:rsidRPr="002B14E8" w:rsidR="00767FB7">
        <w:rPr>
          <w:vertAlign w:val="superscript"/>
        </w:rPr>
        <w:t>2</w:t>
      </w:r>
      <w:r>
        <w:t xml:space="preserve"> for such number of </w:t>
      </w:r>
      <w:r w:rsidR="004A008A">
        <w:t>Unit</w:t>
      </w:r>
      <w:r>
        <w:t xml:space="preserve">s of a different Class </w:t>
      </w:r>
      <w:r w:rsidR="00767FB7">
        <w:t>[</w:t>
      </w:r>
      <w:r>
        <w:t xml:space="preserve">in the same </w:t>
      </w:r>
      <w:r w:rsidR="004A008A">
        <w:t>Sub-</w:t>
      </w:r>
      <w:r>
        <w:t>Fund</w:t>
      </w:r>
      <w:r w:rsidR="00767FB7">
        <w:t>]</w:t>
      </w:r>
      <w:r w:rsidRPr="002B14E8" w:rsidR="00767FB7">
        <w:rPr>
          <w:vertAlign w:val="superscript"/>
        </w:rPr>
        <w:t>2</w:t>
      </w:r>
      <w:r>
        <w:t xml:space="preserve"> as determined in accordance with the provisions of the Prospectus.</w:t>
      </w:r>
      <w:bookmarkEnd w:id="144"/>
    </w:p>
    <w:p w:rsidR="00C21A42" w:rsidP="001E0B2F" w:rsidRDefault="00C21A42" w14:paraId="4C5ABEB2" w14:textId="7EBF6D82">
      <w:pPr>
        <w:pStyle w:val="ssNoHeading2"/>
        <w:numPr>
          <w:ilvl w:val="2"/>
          <w:numId w:val="76"/>
        </w:numPr>
      </w:pPr>
      <w:r>
        <w:t xml:space="preserve">An amount equal to any tax charge incurred by the </w:t>
      </w:r>
      <w:r w:rsidR="004A008A">
        <w:t>Scheme</w:t>
      </w:r>
      <w:r>
        <w:t xml:space="preserve"> or for which the </w:t>
      </w:r>
      <w:r w:rsidR="004A008A">
        <w:t>Scheme</w:t>
      </w:r>
      <w:r>
        <w:t xml:space="preserve"> or the </w:t>
      </w:r>
      <w:r w:rsidR="004A008A">
        <w:t>Manager</w:t>
      </w:r>
      <w:r>
        <w:t xml:space="preserve"> may be held liable as a result of an exchange pursuant to this Clause shall be recoverable from the </w:t>
      </w:r>
      <w:r w:rsidR="004A008A">
        <w:t>Unitholder</w:t>
      </w:r>
      <w:r>
        <w:t xml:space="preserve"> concerned and may be accounted for in any adjustment made of the number of new </w:t>
      </w:r>
      <w:r w:rsidR="004A008A">
        <w:t>Unit</w:t>
      </w:r>
      <w:r>
        <w:t>s to be issued pursuant to the provisions of the Prospectus.</w:t>
      </w:r>
    </w:p>
    <w:p w:rsidRPr="009F4300" w:rsidR="00C21A42" w:rsidP="001E0B2F" w:rsidRDefault="00C21A42" w14:paraId="613FA54A" w14:textId="609B2381">
      <w:pPr>
        <w:pStyle w:val="ssNoHeading2"/>
        <w:numPr>
          <w:ilvl w:val="2"/>
          <w:numId w:val="76"/>
        </w:numPr>
      </w:pPr>
      <w:r>
        <w:t xml:space="preserve">[Once the </w:t>
      </w:r>
      <w:r w:rsidR="004A008A">
        <w:t>Manager</w:t>
      </w:r>
      <w:r>
        <w:t xml:space="preserve"> has made a determination in accordance with Clause </w:t>
      </w:r>
      <w:r>
        <w:fldChar w:fldCharType="begin"/>
      </w:r>
      <w:r>
        <w:instrText xml:space="preserve"> REF _Ref106109566 \r \h </w:instrText>
      </w:r>
      <w:r>
        <w:fldChar w:fldCharType="separate"/>
      </w:r>
      <w:r w:rsidR="00663122">
        <w:rPr>
          <w:cs/>
        </w:rPr>
        <w:t>‎</w:t>
      </w:r>
      <w:r w:rsidR="00663122">
        <w:t>16.6</w:t>
      </w:r>
      <w:r>
        <w:fldChar w:fldCharType="end"/>
      </w:r>
      <w:r>
        <w:t xml:space="preserve">, and without prejudice to the powers of the </w:t>
      </w:r>
      <w:r w:rsidR="004A008A">
        <w:t>Manager</w:t>
      </w:r>
      <w:r>
        <w:t xml:space="preserve"> under Clause </w:t>
      </w:r>
      <w:r>
        <w:fldChar w:fldCharType="begin"/>
      </w:r>
      <w:r>
        <w:instrText xml:space="preserve"> REF _Ref115451922 \r \h </w:instrText>
      </w:r>
      <w:r>
        <w:fldChar w:fldCharType="separate"/>
      </w:r>
      <w:r w:rsidR="00663122">
        <w:rPr>
          <w:cs/>
        </w:rPr>
        <w:t>‎</w:t>
      </w:r>
      <w:r w:rsidR="00663122">
        <w:t>16.8</w:t>
      </w:r>
      <w:r>
        <w:fldChar w:fldCharType="end"/>
      </w:r>
      <w:r>
        <w:t xml:space="preserve">, </w:t>
      </w:r>
      <w:r w:rsidR="004A008A">
        <w:t>Unitholder</w:t>
      </w:r>
      <w:r>
        <w:t xml:space="preserve">s shall be entitled to convert Special Investment </w:t>
      </w:r>
      <w:r w:rsidR="004A008A">
        <w:t>Unit</w:t>
      </w:r>
      <w:r>
        <w:t xml:space="preserve">s into </w:t>
      </w:r>
      <w:r w:rsidR="004A008A">
        <w:t>Unit</w:t>
      </w:r>
      <w:r>
        <w:t xml:space="preserve">s of such other Class as the </w:t>
      </w:r>
      <w:r w:rsidR="004A008A">
        <w:t>Manager</w:t>
      </w:r>
      <w:r>
        <w:t xml:space="preserve"> shall determine to be appropriate.]</w:t>
      </w:r>
      <w:r>
        <w:rPr>
          <w:rStyle w:val="EndnoteReference"/>
        </w:rPr>
        <w:endnoteReference w:id="27"/>
      </w:r>
    </w:p>
    <w:p w:rsidRPr="009F4300" w:rsidR="00F238C5" w:rsidP="00F238C5" w:rsidRDefault="002F62B4" w14:paraId="6AB58482" w14:textId="1D8C31AF">
      <w:pPr>
        <w:pStyle w:val="Heading1"/>
        <w:rPr>
          <w:b w:val="0"/>
          <w:bCs w:val="0"/>
          <w:u w:val="none"/>
        </w:rPr>
      </w:pPr>
      <w:bookmarkStart w:name="_Toc179391847" w:id="145"/>
      <w:r w:rsidRPr="009F4300">
        <w:rPr>
          <w:color w:val="000000"/>
          <w:w w:val="0"/>
        </w:rPr>
        <w:t>Register and Issue of Units</w:t>
      </w:r>
      <w:bookmarkStart w:name="_NN964" w:id="146"/>
      <w:bookmarkEnd w:id="146"/>
      <w:bookmarkEnd w:id="145"/>
    </w:p>
    <w:p w:rsidRPr="000F15D2" w:rsidR="00F238C5" w:rsidP="001E0B2F" w:rsidRDefault="00F238C5" w14:paraId="50A95727" w14:textId="2DAAD53F">
      <w:pPr>
        <w:pStyle w:val="ssNoHeading2"/>
        <w:numPr>
          <w:ilvl w:val="2"/>
          <w:numId w:val="76"/>
        </w:numPr>
      </w:pPr>
      <w:bookmarkStart w:name="_DV_M126" w:id="147"/>
      <w:bookmarkEnd w:id="147"/>
      <w:r w:rsidRPr="009F4300">
        <w:rPr>
          <w:w w:val="0"/>
        </w:rPr>
        <w:t>The [</w:t>
      </w:r>
      <w:r w:rsidR="00B21EE2">
        <w:t>Manager</w:t>
      </w:r>
      <w:r w:rsidRPr="009F4300">
        <w:t xml:space="preserve">]/[Depositary] </w:t>
      </w:r>
      <w:r w:rsidRPr="009F4300">
        <w:rPr>
          <w:w w:val="0"/>
        </w:rPr>
        <w:t xml:space="preserve">is the person responsible under the </w:t>
      </w:r>
      <w:r w:rsidR="000F15D2">
        <w:t xml:space="preserve">under the applicable FCA Rules for the establishment and maintenance of the register of Unitholders </w:t>
      </w:r>
      <w:r w:rsidR="00767FB7">
        <w:t>[</w:t>
      </w:r>
      <w:r w:rsidR="000F15D2">
        <w:t>in each Sub-Fund.</w:t>
      </w:r>
      <w:r w:rsidR="00767FB7">
        <w:t>]</w:t>
      </w:r>
      <w:r w:rsidRPr="002B14E8" w:rsidR="00767FB7">
        <w:rPr>
          <w:vertAlign w:val="superscript"/>
        </w:rPr>
        <w:t>2</w:t>
      </w:r>
    </w:p>
    <w:p w:rsidRPr="009F4300" w:rsidR="00F238C5" w:rsidP="00F238C5" w:rsidRDefault="00F238C5" w14:paraId="0B814A8A" w14:textId="087ED901">
      <w:pPr>
        <w:pStyle w:val="ssNoHeading2"/>
        <w:rPr>
          <w:w w:val="0"/>
        </w:rPr>
      </w:pPr>
      <w:bookmarkStart w:name="_DV_M128" w:id="148"/>
      <w:bookmarkEnd w:id="148"/>
      <w:r w:rsidRPr="009F4300">
        <w:rPr>
          <w:w w:val="0"/>
        </w:rPr>
        <w:t xml:space="preserve">Title to Units </w:t>
      </w:r>
      <w:r w:rsidR="00767FB7">
        <w:rPr>
          <w:w w:val="0"/>
        </w:rPr>
        <w:t>[</w:t>
      </w:r>
      <w:r w:rsidRPr="009F4300">
        <w:rPr>
          <w:w w:val="0"/>
        </w:rPr>
        <w:t xml:space="preserve">in a </w:t>
      </w:r>
      <w:r w:rsidR="00D30F5C">
        <w:rPr>
          <w:w w:val="0"/>
        </w:rPr>
        <w:t>Sub-Fund</w:t>
      </w:r>
      <w:r w:rsidR="00767FB7">
        <w:rPr>
          <w:w w:val="0"/>
        </w:rPr>
        <w:t>]</w:t>
      </w:r>
      <w:r w:rsidRPr="002B14E8" w:rsidR="00767FB7">
        <w:rPr>
          <w:vertAlign w:val="superscript"/>
        </w:rPr>
        <w:t>2</w:t>
      </w:r>
      <w:r w:rsidRPr="009F4300">
        <w:rPr>
          <w:w w:val="0"/>
        </w:rPr>
        <w:t xml:space="preserve"> shall be evidenced by an entry on the appropriate register of Unitholders and the [</w:t>
      </w:r>
      <w:r w:rsidR="00B21EE2">
        <w:t>Manager</w:t>
      </w:r>
      <w:r w:rsidRPr="009F4300">
        <w:t>]/[Depositary]</w:t>
      </w:r>
      <w:r w:rsidR="000F15D2">
        <w:t xml:space="preserve"> </w:t>
      </w:r>
      <w:r w:rsidRPr="009F4300">
        <w:rPr>
          <w:w w:val="0"/>
        </w:rPr>
        <w:t xml:space="preserve">shall not issue certificates to Unitholders.  </w:t>
      </w:r>
    </w:p>
    <w:p w:rsidRPr="009F4300" w:rsidR="00F238C5" w:rsidP="00F238C5" w:rsidRDefault="00F238C5" w14:paraId="7A153BAA" w14:textId="0ED38488">
      <w:pPr>
        <w:pStyle w:val="ssNoHeading2"/>
        <w:rPr>
          <w:w w:val="0"/>
        </w:rPr>
      </w:pPr>
      <w:r w:rsidRPr="009F4300">
        <w:rPr>
          <w:w w:val="0"/>
        </w:rPr>
        <w:t>The [</w:t>
      </w:r>
      <w:r w:rsidR="00B21EE2">
        <w:t>Manager</w:t>
      </w:r>
      <w:r w:rsidRPr="009F4300">
        <w:t xml:space="preserve">]/[Depositary] </w:t>
      </w:r>
      <w:r w:rsidRPr="009F4300">
        <w:rPr>
          <w:w w:val="0"/>
        </w:rPr>
        <w:t>(or the registrar on the [</w:t>
      </w:r>
      <w:r w:rsidR="00B21EE2">
        <w:t>Manager</w:t>
      </w:r>
      <w:r w:rsidRPr="009F4300">
        <w:t>’</w:t>
      </w:r>
      <w:r w:rsidRPr="009F4300">
        <w:rPr>
          <w:w w:val="0"/>
        </w:rPr>
        <w:t>s]/[Depositary’s] behalf) may charge a fee for issuing any document recording, or for amending, an entry on the register (otherwise than on the issue or sale of Units).</w:t>
      </w:r>
    </w:p>
    <w:p w:rsidRPr="009F4300" w:rsidR="00F238C5" w:rsidP="00F238C5" w:rsidRDefault="002F62B4" w14:paraId="1B9ED70E" w14:textId="265AD6AD">
      <w:pPr>
        <w:pStyle w:val="Heading1"/>
        <w:rPr>
          <w:b w:val="0"/>
          <w:bCs w:val="0"/>
          <w:u w:val="none"/>
        </w:rPr>
      </w:pPr>
      <w:bookmarkStart w:name="_DV_M130" w:id="149"/>
      <w:bookmarkStart w:name="_Ref117864893" w:id="150"/>
      <w:bookmarkStart w:name="_Toc179391848" w:id="151"/>
      <w:bookmarkEnd w:id="149"/>
      <w:r w:rsidRPr="009F4300">
        <w:rPr>
          <w:color w:val="000000"/>
          <w:w w:val="0"/>
        </w:rPr>
        <w:t>Valuation and Pricing</w:t>
      </w:r>
      <w:bookmarkStart w:name="_NN965" w:id="152"/>
      <w:bookmarkEnd w:id="150"/>
      <w:bookmarkEnd w:id="152"/>
      <w:bookmarkEnd w:id="151"/>
    </w:p>
    <w:p w:rsidR="001F434C" w:rsidP="001F434C" w:rsidRDefault="001F434C" w14:paraId="2BB296C0" w14:textId="3E3C15FA">
      <w:pPr>
        <w:pStyle w:val="ssNoHeading2"/>
        <w:numPr>
          <w:ilvl w:val="0"/>
          <w:numId w:val="0"/>
        </w:numPr>
        <w:ind w:left="709"/>
        <w:rPr>
          <w:w w:val="0"/>
        </w:rPr>
      </w:pPr>
      <w:bookmarkStart w:name="_DV_M131" w:id="153"/>
      <w:bookmarkStart w:name="_Ref95063246" w:id="154"/>
      <w:bookmarkEnd w:id="153"/>
      <w:r>
        <w:t>The Units will be [single/dual] priced. The Net Asset Value of the Scheme [and each Sub-Fund]</w:t>
      </w:r>
      <w:r>
        <w:rPr>
          <w:vertAlign w:val="superscript"/>
        </w:rPr>
        <w:t>2</w:t>
      </w:r>
      <w:r>
        <w:t xml:space="preserve"> shall be determined in accordance with the FCA Rules and, subject thereto, in accordance with </w:t>
      </w:r>
      <w:r w:rsidR="006F7E70">
        <w:fldChar w:fldCharType="begin"/>
      </w:r>
      <w:r w:rsidR="006F7E70">
        <w:instrText xml:space="preserve"> REF _Ref118276274 \r \h </w:instrText>
      </w:r>
      <w:r w:rsidR="006F7E70">
        <w:fldChar w:fldCharType="separate"/>
      </w:r>
      <w:r w:rsidR="00663122">
        <w:rPr>
          <w:cs/>
        </w:rPr>
        <w:t>‎</w:t>
      </w:r>
      <w:r w:rsidR="00663122">
        <w:t>Part 5</w:t>
      </w:r>
      <w:r w:rsidR="006F7E70">
        <w:fldChar w:fldCharType="end"/>
      </w:r>
      <w:r>
        <w:t xml:space="preserve"> of the Schedule to this Deed and the Prospectus. Subject to the FCA Rules and in the absence of bad faith, negligence or manifest error, such determination by the Manager shall be definitive.</w:t>
      </w:r>
      <w:bookmarkEnd w:id="154"/>
      <w:r>
        <w:t xml:space="preserve"> </w:t>
      </w:r>
    </w:p>
    <w:p w:rsidRPr="009F4300" w:rsidR="00F238C5" w:rsidP="00F238C5" w:rsidRDefault="002F62B4" w14:paraId="7CCB17F1" w14:textId="45DE562E">
      <w:pPr>
        <w:pStyle w:val="Heading1"/>
        <w:rPr>
          <w:b w:val="0"/>
          <w:bCs w:val="0"/>
          <w:u w:val="none"/>
        </w:rPr>
      </w:pPr>
      <w:bookmarkStart w:name="_DV_M132" w:id="155"/>
      <w:bookmarkStart w:name="_DV_M133" w:id="156"/>
      <w:bookmarkStart w:name="_DV_M134" w:id="157"/>
      <w:bookmarkStart w:name="_Toc179391849" w:id="158"/>
      <w:bookmarkStart w:name="_Ref131580028" w:id="159"/>
      <w:bookmarkEnd w:id="155"/>
      <w:bookmarkEnd w:id="156"/>
      <w:bookmarkEnd w:id="157"/>
      <w:r w:rsidRPr="009F4300">
        <w:rPr>
          <w:color w:val="000000"/>
          <w:w w:val="0"/>
        </w:rPr>
        <w:lastRenderedPageBreak/>
        <w:t>Issue and Cancellation of Units</w:t>
      </w:r>
      <w:bookmarkStart w:name="_NN966" w:id="160"/>
      <w:bookmarkEnd w:id="160"/>
      <w:bookmarkEnd w:id="158"/>
    </w:p>
    <w:p w:rsidRPr="009F4300" w:rsidR="00F238C5" w:rsidP="007E7CB9" w:rsidRDefault="00F238C5" w14:paraId="16626859" w14:textId="3E2FA620">
      <w:pPr>
        <w:pStyle w:val="ssNoHeading2"/>
        <w:numPr>
          <w:ilvl w:val="0"/>
          <w:numId w:val="0"/>
        </w:numPr>
        <w:ind w:left="709"/>
        <w:rPr>
          <w:b/>
        </w:rPr>
      </w:pPr>
      <w:r w:rsidRPr="009F4300">
        <w:t xml:space="preserve">The </w:t>
      </w:r>
      <w:r w:rsidR="003B5236">
        <w:t>Manager</w:t>
      </w:r>
      <w:r w:rsidRPr="009F4300">
        <w:t xml:space="preserve"> will issue or cancel Units </w:t>
      </w:r>
      <w:r w:rsidR="00767FB7">
        <w:t>[</w:t>
      </w:r>
      <w:r w:rsidRPr="009F4300">
        <w:t xml:space="preserve">in each </w:t>
      </w:r>
      <w:r w:rsidR="00D30F5C">
        <w:t>Sub-Fund</w:t>
      </w:r>
      <w:r w:rsidR="00767FB7">
        <w:t>]</w:t>
      </w:r>
      <w:r w:rsidRPr="002B14E8" w:rsidR="00767FB7">
        <w:rPr>
          <w:vertAlign w:val="superscript"/>
        </w:rPr>
        <w:t>2</w:t>
      </w:r>
      <w:r w:rsidRPr="009F4300">
        <w:t xml:space="preserve"> by making a record of the issue or cancellation of such Units and the number of Units in each </w:t>
      </w:r>
      <w:r w:rsidR="00767FB7">
        <w:t>[</w:t>
      </w:r>
      <w:r w:rsidR="00D30F5C">
        <w:t>Sub-Fund</w:t>
      </w:r>
      <w:r w:rsidRPr="009F4300">
        <w:t xml:space="preserve"> and</w:t>
      </w:r>
      <w:r w:rsidR="00767FB7">
        <w:t>]</w:t>
      </w:r>
      <w:r w:rsidRPr="002B14E8" w:rsidR="00767FB7">
        <w:rPr>
          <w:vertAlign w:val="superscript"/>
        </w:rPr>
        <w:t>2</w:t>
      </w:r>
      <w:r w:rsidRPr="009F4300">
        <w:t xml:space="preserve"> Class concerned. </w:t>
      </w:r>
      <w:r w:rsidR="003B5236">
        <w:t>[</w:t>
      </w:r>
      <w:r w:rsidRPr="009F4300">
        <w:t xml:space="preserve">Subject to and in accordance with the </w:t>
      </w:r>
      <w:r w:rsidR="00D56FFD">
        <w:t>FCA Rules</w:t>
      </w:r>
      <w:r w:rsidRPr="009F4300">
        <w:t>, the issue or cancellation</w:t>
      </w:r>
      <w:r w:rsidR="00D56FFD">
        <w:t xml:space="preserve"> of Units</w:t>
      </w:r>
      <w:r w:rsidRPr="009F4300">
        <w:t xml:space="preserve"> may take place through the Depositary directly</w:t>
      </w:r>
      <w:r w:rsidR="003B5236">
        <w:t>]</w:t>
      </w:r>
      <w:r w:rsidRPr="009F4300">
        <w:t>.</w:t>
      </w:r>
      <w:r w:rsidR="003B5236">
        <w:rPr>
          <w:rStyle w:val="EndnoteReference"/>
        </w:rPr>
        <w:endnoteReference w:id="28"/>
      </w:r>
    </w:p>
    <w:p w:rsidRPr="009F4300" w:rsidR="00F238C5" w:rsidP="00F238C5" w:rsidRDefault="002F62B4" w14:paraId="5849DDA5" w14:textId="05EA64FF">
      <w:pPr>
        <w:pStyle w:val="Heading1"/>
        <w:rPr>
          <w:b w:val="0"/>
          <w:bCs w:val="0"/>
          <w:u w:val="none"/>
        </w:rPr>
      </w:pPr>
      <w:bookmarkStart w:name="_Ref376768583" w:id="161"/>
      <w:bookmarkStart w:name="_Toc179391850" w:id="162"/>
      <w:r w:rsidRPr="009F4300">
        <w:t>In Specie Issue and Cancellation</w:t>
      </w:r>
      <w:bookmarkStart w:name="_NN967" w:id="163"/>
      <w:bookmarkEnd w:id="161"/>
      <w:bookmarkEnd w:id="163"/>
      <w:bookmarkEnd w:id="162"/>
    </w:p>
    <w:p w:rsidRPr="009F4300" w:rsidR="00F238C5" w:rsidP="007E7CB9" w:rsidRDefault="00F238C5" w14:paraId="24C8EF71" w14:textId="6BE64490">
      <w:pPr>
        <w:pStyle w:val="ssNoHeading2"/>
        <w:numPr>
          <w:ilvl w:val="0"/>
          <w:numId w:val="0"/>
        </w:numPr>
        <w:ind w:left="709"/>
        <w:rPr>
          <w:b/>
        </w:rPr>
      </w:pPr>
      <w:r w:rsidRPr="009F4300">
        <w:t xml:space="preserve">The Depositary may take into or pay out the Scheme Property </w:t>
      </w:r>
      <w:r w:rsidR="00767FB7">
        <w:t>[</w:t>
      </w:r>
      <w:r w:rsidRPr="009F4300">
        <w:t xml:space="preserve">of the relevant </w:t>
      </w:r>
      <w:r w:rsidR="00D30F5C">
        <w:t>Sub-Fund</w:t>
      </w:r>
      <w:r w:rsidR="00767FB7">
        <w:t>]</w:t>
      </w:r>
      <w:r w:rsidRPr="002B14E8" w:rsidR="00767FB7">
        <w:rPr>
          <w:vertAlign w:val="superscript"/>
        </w:rPr>
        <w:t>2</w:t>
      </w:r>
      <w:r w:rsidRPr="009F4300">
        <w:t xml:space="preserve"> assets other than cash for the issue or cancellation of </w:t>
      </w:r>
      <w:r w:rsidR="00D56FFD">
        <w:t xml:space="preserve"> (‘in specie issue or cancellation’)</w:t>
      </w:r>
      <w:r w:rsidRPr="009F4300">
        <w:t xml:space="preserve"> but only if the Depositary has taken reasonable care to ensure that the receipt or payment out of the property concerned would not be likely to result in any material prejudice to the interests of the Unitholders </w:t>
      </w:r>
      <w:r w:rsidR="00767FB7">
        <w:t>[</w:t>
      </w:r>
      <w:r w:rsidRPr="009F4300">
        <w:t xml:space="preserve">of the relevant </w:t>
      </w:r>
      <w:r w:rsidR="00D30F5C">
        <w:t>Sub-Fund</w:t>
      </w:r>
      <w:r w:rsidR="00767FB7">
        <w:t>]</w:t>
      </w:r>
      <w:r w:rsidRPr="002B14E8" w:rsidR="00767FB7">
        <w:rPr>
          <w:vertAlign w:val="superscript"/>
        </w:rPr>
        <w:t>2</w:t>
      </w:r>
      <w:r w:rsidRPr="009F4300">
        <w:t>.</w:t>
      </w:r>
    </w:p>
    <w:p w:rsidRPr="009F4300" w:rsidR="00F238C5" w:rsidP="00F238C5" w:rsidRDefault="0073048A" w14:paraId="4B967620" w14:textId="3BF882F9">
      <w:pPr>
        <w:pStyle w:val="Heading1"/>
      </w:pPr>
      <w:bookmarkStart w:name="_Toc179391851" w:id="164"/>
      <w:r w:rsidRPr="009F4300">
        <w:rPr>
          <w:w w:val="0"/>
        </w:rPr>
        <w:t>Sale and Redemption of Units</w:t>
      </w:r>
      <w:bookmarkStart w:name="_NN968" w:id="165"/>
      <w:bookmarkEnd w:id="159"/>
      <w:bookmarkEnd w:id="165"/>
      <w:bookmarkEnd w:id="164"/>
    </w:p>
    <w:p w:rsidRPr="009F4300" w:rsidR="00F238C5" w:rsidP="00F238C5" w:rsidRDefault="007E7CB9" w14:paraId="663E8CAE" w14:textId="55938DBE">
      <w:pPr>
        <w:pStyle w:val="ssNoHeading2"/>
        <w:rPr>
          <w:w w:val="0"/>
        </w:rPr>
      </w:pPr>
      <w:bookmarkStart w:name="_DV_M135" w:id="166"/>
      <w:bookmarkEnd w:id="166"/>
      <w:r>
        <w:rPr>
          <w:w w:val="0"/>
        </w:rPr>
        <w:t>T</w:t>
      </w:r>
      <w:r w:rsidRPr="009F4300" w:rsidR="00F238C5">
        <w:rPr>
          <w:w w:val="0"/>
        </w:rPr>
        <w:t xml:space="preserve">he arrangements for the sale and redemption of Units are set out in the Prospectus. [The restrictions that apply in relation to the sale and redemption of Units are set out in </w:t>
      </w:r>
      <w:r w:rsidRPr="009F4300" w:rsidR="000B5792">
        <w:rPr>
          <w:w w:val="0"/>
        </w:rPr>
        <w:fldChar w:fldCharType="begin"/>
      </w:r>
      <w:r w:rsidRPr="009F4300" w:rsidR="000B5792">
        <w:rPr>
          <w:w w:val="0"/>
        </w:rPr>
        <w:instrText xml:space="preserve"> REF _Ref117249468 \n \h </w:instrText>
      </w:r>
      <w:r w:rsidRPr="009F4300" w:rsidR="000B5792">
        <w:rPr>
          <w:w w:val="0"/>
        </w:rPr>
      </w:r>
      <w:r w:rsidRPr="009F4300" w:rsidR="000B5792">
        <w:rPr>
          <w:w w:val="0"/>
        </w:rPr>
        <w:fldChar w:fldCharType="separate"/>
      </w:r>
      <w:r w:rsidR="00663122">
        <w:rPr>
          <w:w w:val="0"/>
          <w:cs/>
        </w:rPr>
        <w:t>‎</w:t>
      </w:r>
      <w:r w:rsidR="00663122">
        <w:rPr>
          <w:w w:val="0"/>
        </w:rPr>
        <w:t>Part 2</w:t>
      </w:r>
      <w:r w:rsidRPr="009F4300" w:rsidR="000B5792">
        <w:rPr>
          <w:w w:val="0"/>
        </w:rPr>
        <w:fldChar w:fldCharType="end"/>
      </w:r>
      <w:r w:rsidRPr="009F4300" w:rsidR="00F238C5">
        <w:rPr>
          <w:w w:val="0"/>
        </w:rPr>
        <w:t xml:space="preserve"> of the Schedule.]</w:t>
      </w:r>
    </w:p>
    <w:p w:rsidR="007E7CB9" w:rsidP="001E0B2F" w:rsidRDefault="007E7CB9" w14:paraId="3B38E0C8" w14:textId="027CDC90">
      <w:pPr>
        <w:pStyle w:val="ssNoHeading2"/>
        <w:numPr>
          <w:ilvl w:val="2"/>
          <w:numId w:val="76"/>
        </w:numPr>
      </w:pPr>
      <w:bookmarkStart w:name="_DV_M136" w:id="167"/>
      <w:bookmarkStart w:name="_DV_M137" w:id="168"/>
      <w:bookmarkStart w:name="_DV_M138" w:id="169"/>
      <w:bookmarkStart w:name="_DV_M139" w:id="170"/>
      <w:bookmarkStart w:name="_DV_M140" w:id="171"/>
      <w:bookmarkStart w:name="_DV_M141" w:id="172"/>
      <w:bookmarkStart w:name="_DV_M143" w:id="173"/>
      <w:bookmarkStart w:name="_DV_M144" w:id="174"/>
      <w:bookmarkStart w:name="_DV_M145" w:id="175"/>
      <w:bookmarkStart w:name="_DV_M146" w:id="176"/>
      <w:bookmarkStart w:name="_DV_M147" w:id="177"/>
      <w:bookmarkStart w:name="_DV_M148" w:id="178"/>
      <w:bookmarkStart w:name="_DV_M149" w:id="179"/>
      <w:bookmarkStart w:name="_DV_M150" w:id="180"/>
      <w:bookmarkStart w:name="_DV_M151" w:id="181"/>
      <w:bookmarkStart w:name="_DV_M152" w:id="182"/>
      <w:bookmarkStart w:name="_DV_M158" w:id="183"/>
      <w:bookmarkStart w:name="_DV_M159" w:id="184"/>
      <w:bookmarkStart w:name="_DV_M160" w:id="185"/>
      <w:bookmarkStart w:name="_Ref95660117" w:id="186"/>
      <w:bookmarkStart w:name="_Ref352770019" w:id="187"/>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 xml:space="preserve">The frequency of dealing for sales and redemptions of Units, and the applicable notice period for redemptions of Units in the Scheme are set out </w:t>
      </w:r>
      <w:r w:rsidR="00767FB7">
        <w:t>[</w:t>
      </w:r>
      <w:r>
        <w:t>for each Sub-Fund</w:t>
      </w:r>
      <w:r w:rsidR="00767FB7">
        <w:t>]</w:t>
      </w:r>
      <w:r w:rsidRPr="002B14E8" w:rsidR="00767FB7">
        <w:rPr>
          <w:vertAlign w:val="superscript"/>
        </w:rPr>
        <w:t>2</w:t>
      </w:r>
      <w:r>
        <w:t xml:space="preserve"> in </w:t>
      </w:r>
      <w:r w:rsidR="0041310A">
        <w:fldChar w:fldCharType="begin"/>
      </w:r>
      <w:r w:rsidR="0041310A">
        <w:instrText xml:space="preserve"> REF _Ref118215025 \r \h </w:instrText>
      </w:r>
      <w:r w:rsidR="0041310A">
        <w:fldChar w:fldCharType="separate"/>
      </w:r>
      <w:r w:rsidR="00663122">
        <w:rPr>
          <w:cs/>
        </w:rPr>
        <w:t>‎</w:t>
      </w:r>
      <w:r w:rsidR="00663122">
        <w:t>Part 1</w:t>
      </w:r>
      <w:r w:rsidR="0041310A">
        <w:fldChar w:fldCharType="end"/>
      </w:r>
      <w:r w:rsidR="0041310A">
        <w:t xml:space="preserve"> </w:t>
      </w:r>
      <w:r>
        <w:t>to the Schedule.</w:t>
      </w:r>
      <w:r>
        <w:rPr>
          <w:szCs w:val="22"/>
        </w:rPr>
        <w:t xml:space="preserve"> </w:t>
      </w:r>
      <w:r>
        <w:t xml:space="preserve">The Manager shall determine the price for the Units to be redeemed pursuant to a Unitholder’s redemption request at the first </w:t>
      </w:r>
      <w:r w:rsidR="00767FB7">
        <w:t>Valuation</w:t>
      </w:r>
      <w:r w:rsidR="00D135F7">
        <w:t xml:space="preserve"> Point</w:t>
      </w:r>
      <w:r>
        <w:t xml:space="preserve"> following the end of the notice period specified for the [relevant Sub-Fund</w:t>
      </w:r>
      <w:r w:rsidR="002F09C2">
        <w:t xml:space="preserve"> </w:t>
      </w:r>
      <w:r>
        <w:t>/</w:t>
      </w:r>
      <w:r w:rsidR="002F09C2">
        <w:t xml:space="preserve"> </w:t>
      </w:r>
      <w:r w:rsidR="008A7758">
        <w:t>Scheme</w:t>
      </w:r>
      <w:r>
        <w:t>]</w:t>
      </w:r>
      <w:r>
        <w:rPr>
          <w:vertAlign w:val="superscript"/>
        </w:rPr>
        <w:t>2</w:t>
      </w:r>
      <w:r>
        <w:t xml:space="preserve"> as specified in </w:t>
      </w:r>
      <w:r w:rsidR="0041310A">
        <w:fldChar w:fldCharType="begin"/>
      </w:r>
      <w:r w:rsidR="0041310A">
        <w:instrText xml:space="preserve"> REF _Ref118215025 \r \h </w:instrText>
      </w:r>
      <w:r w:rsidR="0041310A">
        <w:fldChar w:fldCharType="separate"/>
      </w:r>
      <w:r w:rsidR="00663122">
        <w:rPr>
          <w:cs/>
        </w:rPr>
        <w:t>‎</w:t>
      </w:r>
      <w:r w:rsidR="00663122">
        <w:t>Part 1</w:t>
      </w:r>
      <w:r w:rsidR="0041310A">
        <w:fldChar w:fldCharType="end"/>
      </w:r>
      <w:r>
        <w:t xml:space="preserve"> to the Schedule (the “</w:t>
      </w:r>
      <w:r w:rsidRPr="007E7CB9">
        <w:rPr>
          <w:b/>
          <w:bCs w:val="0"/>
        </w:rPr>
        <w:t>Notice Period</w:t>
      </w:r>
      <w:r>
        <w:t>”).</w:t>
      </w:r>
      <w:bookmarkEnd w:id="186"/>
    </w:p>
    <w:p w:rsidR="00B94284" w:rsidP="001E0B2F" w:rsidRDefault="007E7CB9" w14:paraId="039B613C" w14:textId="6A533FB0">
      <w:pPr>
        <w:pStyle w:val="ssNoHeading2"/>
        <w:numPr>
          <w:ilvl w:val="2"/>
          <w:numId w:val="76"/>
        </w:numPr>
      </w:pPr>
      <w:bookmarkStart w:name="_Ref121991381" w:id="188"/>
      <w:r>
        <w:t xml:space="preserve">The arrangements for the sale and redemption of Units are as set out in the Prospectus. </w:t>
      </w:r>
      <w:r>
        <w:rPr>
          <w:lang w:bidi="he-IL"/>
        </w:rPr>
        <w:t>The Manager may, with the prior agreement of the Depositary, or must without delay if the Depositary so requires, temporarily suspend the issue, sale, redemption and cancellation of Units without prior notice to Unitholders within</w:t>
      </w:r>
      <w:r w:rsidR="000B74DB">
        <w:rPr>
          <w:lang w:bidi="he-IL"/>
        </w:rPr>
        <w:t xml:space="preserve"> any parameters which are fair and reasonable in respect of all Unitholders, including, without limitation,</w:t>
      </w:r>
      <w:r>
        <w:rPr>
          <w:lang w:bidi="he-IL"/>
        </w:rPr>
        <w:t xml:space="preserve"> </w:t>
      </w:r>
      <w:r w:rsidR="00B94284">
        <w:rPr>
          <w:lang w:bidi="he-IL"/>
        </w:rPr>
        <w:t>on the occurrence of any of the following events:</w:t>
      </w:r>
      <w:bookmarkEnd w:id="188"/>
    </w:p>
    <w:p w:rsidRPr="00B94284" w:rsidR="00B94284" w:rsidP="00B94284" w:rsidRDefault="00B94284" w14:paraId="3188FE5E" w14:textId="0B4F55F6">
      <w:pPr>
        <w:pStyle w:val="Heading3"/>
        <w:numPr>
          <w:ilvl w:val="3"/>
          <w:numId w:val="76"/>
        </w:numPr>
        <w:rPr>
          <w:b w:val="0"/>
          <w:bCs w:val="0"/>
        </w:rPr>
      </w:pPr>
      <w:r w:rsidRPr="00B94284">
        <w:rPr>
          <w:b w:val="0"/>
          <w:bCs w:val="0"/>
        </w:rPr>
        <w:t>[</w:t>
      </w:r>
      <w:r w:rsidRPr="00892DBD">
        <w:rPr>
          <w:b w:val="0"/>
          <w:bCs w:val="0"/>
          <w:i/>
          <w:iCs/>
          <w:highlight w:val="yellow"/>
        </w:rPr>
        <w:t>insert events following which suspension may occur</w:t>
      </w:r>
      <w:r w:rsidRPr="00B94284">
        <w:rPr>
          <w:b w:val="0"/>
          <w:bCs w:val="0"/>
        </w:rPr>
        <w:t>]</w:t>
      </w:r>
      <w:r w:rsidR="00B51E94">
        <w:rPr>
          <w:rStyle w:val="EndnoteReference"/>
          <w:b w:val="0"/>
          <w:bCs w:val="0"/>
        </w:rPr>
        <w:endnoteReference w:id="29"/>
      </w:r>
      <w:r w:rsidRPr="00B94284">
        <w:rPr>
          <w:b w:val="0"/>
          <w:bCs w:val="0"/>
        </w:rPr>
        <w:t>,</w:t>
      </w:r>
    </w:p>
    <w:p w:rsidR="000B74DB" w:rsidP="00B94284" w:rsidRDefault="00B51E94" w14:paraId="26CA3520" w14:textId="099415AE">
      <w:pPr>
        <w:pStyle w:val="ssNoHeading2"/>
        <w:numPr>
          <w:ilvl w:val="0"/>
          <w:numId w:val="0"/>
        </w:numPr>
        <w:ind w:left="709"/>
        <w:rPr>
          <w:lang w:bidi="he-IL"/>
        </w:rPr>
      </w:pPr>
      <w:r>
        <w:rPr>
          <w:lang w:bidi="he-IL"/>
        </w:rPr>
        <w:t>p</w:t>
      </w:r>
      <w:r w:rsidR="000B74DB">
        <w:rPr>
          <w:lang w:bidi="he-IL"/>
        </w:rPr>
        <w:t>rovided that the Manager:</w:t>
      </w:r>
    </w:p>
    <w:p w:rsidR="000B74DB" w:rsidP="000B74DB" w:rsidRDefault="003B73DB" w14:paraId="57043F3F" w14:textId="1B6326BF">
      <w:pPr>
        <w:pStyle w:val="Heading5"/>
        <w:numPr>
          <w:ilvl w:val="1"/>
          <w:numId w:val="75"/>
        </w:numPr>
        <w:rPr>
          <w:b w:val="0"/>
          <w:bCs/>
          <w:lang w:bidi="he-IL"/>
        </w:rPr>
      </w:pPr>
      <w:r w:rsidRPr="003B73DB">
        <w:rPr>
          <w:b w:val="0"/>
          <w:bCs/>
          <w:lang w:bidi="he-IL"/>
        </w:rPr>
        <w:t xml:space="preserve">(or the Depositary where such suspension is required by the Depositary) </w:t>
      </w:r>
      <w:r w:rsidR="000B74DB">
        <w:rPr>
          <w:b w:val="0"/>
          <w:bCs/>
          <w:lang w:bidi="he-IL"/>
        </w:rPr>
        <w:t>determines, having regard to the interests of all Unitholders, that such suspension is in the interests of Unitholders (or potential Unitholders, as the case may be);</w:t>
      </w:r>
      <w:r w:rsidR="00AC18E3">
        <w:rPr>
          <w:rStyle w:val="EndnoteReference"/>
          <w:b w:val="0"/>
          <w:bCs/>
          <w:lang w:bidi="he-IL"/>
        </w:rPr>
        <w:endnoteReference w:id="30"/>
      </w:r>
    </w:p>
    <w:p w:rsidR="000B74DB" w:rsidP="000B74DB" w:rsidRDefault="000B74DB" w14:paraId="52997A47" w14:textId="7A02B982">
      <w:pPr>
        <w:pStyle w:val="ssPara5"/>
        <w:numPr>
          <w:ilvl w:val="1"/>
          <w:numId w:val="75"/>
        </w:numPr>
        <w:rPr>
          <w:lang w:eastAsia="en-GB" w:bidi="he-IL"/>
        </w:rPr>
      </w:pPr>
      <w:r>
        <w:rPr>
          <w:lang w:eastAsia="en-GB" w:bidi="he-IL"/>
        </w:rPr>
        <w:t>ensures that any such suspension continues only for so long as is justified having regard to the interests of Unitholders;</w:t>
      </w:r>
      <w:r w:rsidR="00AC18E3">
        <w:rPr>
          <w:rStyle w:val="EndnoteReference"/>
          <w:lang w:eastAsia="en-GB" w:bidi="he-IL"/>
        </w:rPr>
        <w:endnoteReference w:id="31"/>
      </w:r>
    </w:p>
    <w:p w:rsidRPr="000B74DB" w:rsidR="000B74DB" w:rsidP="000B74DB" w:rsidRDefault="000B74DB" w14:paraId="704F63B0" w14:textId="45E1A34B">
      <w:pPr>
        <w:pStyle w:val="ssPara5"/>
        <w:numPr>
          <w:ilvl w:val="1"/>
          <w:numId w:val="75"/>
        </w:numPr>
        <w:rPr>
          <w:lang w:eastAsia="en-GB" w:bidi="he-IL"/>
        </w:rPr>
      </w:pPr>
      <w:r>
        <w:rPr>
          <w:lang w:eastAsia="en-GB" w:bidi="he-IL"/>
        </w:rPr>
        <w:t>formally reviews the suspension every 28 days and informs the FCA of the results of each review in accordance with the FCA Rules;</w:t>
      </w:r>
      <w:r w:rsidR="00AC18E3">
        <w:rPr>
          <w:rStyle w:val="EndnoteReference"/>
          <w:lang w:eastAsia="en-GB" w:bidi="he-IL"/>
        </w:rPr>
        <w:endnoteReference w:id="32"/>
      </w:r>
      <w:r>
        <w:rPr>
          <w:lang w:eastAsia="en-GB" w:bidi="he-IL"/>
        </w:rPr>
        <w:t xml:space="preserve"> and</w:t>
      </w:r>
    </w:p>
    <w:p w:rsidR="007E7CB9" w:rsidP="00B94284" w:rsidRDefault="000B74DB" w14:paraId="3AAEF241" w14:textId="0B09E0D4">
      <w:pPr>
        <w:pStyle w:val="ssNoHeading2"/>
        <w:numPr>
          <w:ilvl w:val="0"/>
          <w:numId w:val="0"/>
        </w:numPr>
        <w:ind w:left="709"/>
      </w:pPr>
      <w:r>
        <w:rPr>
          <w:lang w:bidi="he-IL"/>
        </w:rPr>
        <w:t xml:space="preserve">provided further that such suspension is </w:t>
      </w:r>
      <w:r w:rsidR="007E7CB9">
        <w:rPr>
          <w:lang w:bidi="he-IL"/>
        </w:rPr>
        <w:t>on the terms set out in the Prospectus and in accordance with the FCA Rules.</w:t>
      </w:r>
      <w:r w:rsidR="00EE038F">
        <w:rPr>
          <w:rStyle w:val="EndnoteReference"/>
          <w:lang w:bidi="he-IL"/>
        </w:rPr>
        <w:endnoteReference w:id="33"/>
      </w:r>
    </w:p>
    <w:p w:rsidR="004510F7" w:rsidP="001E0B2F" w:rsidRDefault="000B74DB" w14:paraId="799DFE77" w14:textId="5322039E">
      <w:pPr>
        <w:pStyle w:val="ssNoHeading2"/>
        <w:numPr>
          <w:ilvl w:val="2"/>
          <w:numId w:val="76"/>
        </w:numPr>
      </w:pPr>
      <w:bookmarkStart w:name="_Hlk160445418" w:id="189"/>
      <w:r>
        <w:lastRenderedPageBreak/>
        <w:t xml:space="preserve">The Manager shall, following the commencement of a suspension in accordance with </w:t>
      </w:r>
      <w:r w:rsidR="00314A95">
        <w:t>C</w:t>
      </w:r>
      <w:r>
        <w:t xml:space="preserve">lause </w:t>
      </w:r>
      <w:r>
        <w:fldChar w:fldCharType="begin"/>
      </w:r>
      <w:r>
        <w:instrText xml:space="preserve"> REF _Ref121991381 \r \h </w:instrText>
      </w:r>
      <w:r>
        <w:fldChar w:fldCharType="separate"/>
      </w:r>
      <w:r w:rsidR="00663122">
        <w:rPr>
          <w:cs/>
        </w:rPr>
        <w:t>‎</w:t>
      </w:r>
      <w:r w:rsidR="00663122">
        <w:t>22.3</w:t>
      </w:r>
      <w:r>
        <w:fldChar w:fldCharType="end"/>
      </w:r>
      <w:r>
        <w:t xml:space="preserve"> above, </w:t>
      </w:r>
      <w:r w:rsidR="004510F7">
        <w:t>ensure a notification is made to</w:t>
      </w:r>
      <w:r>
        <w:t xml:space="preserve"> Unitholders of such suspension as soon as practicable</w:t>
      </w:r>
      <w:r w:rsidR="004510F7">
        <w:t>, which:</w:t>
      </w:r>
    </w:p>
    <w:p w:rsidRPr="004510F7" w:rsidR="004510F7" w:rsidP="004510F7" w:rsidRDefault="004510F7" w14:paraId="0168EDD9" w14:textId="14CA9276">
      <w:pPr>
        <w:pStyle w:val="Heading3"/>
        <w:numPr>
          <w:ilvl w:val="3"/>
          <w:numId w:val="76"/>
        </w:numPr>
      </w:pPr>
      <w:r>
        <w:rPr>
          <w:b w:val="0"/>
          <w:bCs w:val="0"/>
        </w:rPr>
        <w:t>is clear, fair and not misleading;</w:t>
      </w:r>
    </w:p>
    <w:p w:rsidRPr="004510F7" w:rsidR="004510F7" w:rsidP="004510F7" w:rsidRDefault="004510F7" w14:paraId="2A8A2B11" w14:textId="77777777">
      <w:pPr>
        <w:pStyle w:val="Heading3"/>
        <w:numPr>
          <w:ilvl w:val="3"/>
          <w:numId w:val="76"/>
        </w:numPr>
      </w:pPr>
      <w:r>
        <w:rPr>
          <w:b w:val="0"/>
          <w:bCs w:val="0"/>
        </w:rPr>
        <w:t>draws Unitholders’ particular attention to the exceptional circumstance which resulted in the suspension; and</w:t>
      </w:r>
    </w:p>
    <w:p w:rsidR="000B74DB" w:rsidP="004510F7" w:rsidRDefault="004510F7" w14:paraId="2C3A88CA" w14:textId="0CA13E8E">
      <w:pPr>
        <w:pStyle w:val="Heading3"/>
        <w:numPr>
          <w:ilvl w:val="3"/>
          <w:numId w:val="76"/>
        </w:numPr>
      </w:pPr>
      <w:r>
        <w:rPr>
          <w:b w:val="0"/>
          <w:bCs w:val="0"/>
        </w:rPr>
        <w:t xml:space="preserve">informs Unitholders how to obtain the information </w:t>
      </w:r>
      <w:r w:rsidR="000A4D68">
        <w:rPr>
          <w:b w:val="0"/>
          <w:bCs w:val="0"/>
        </w:rPr>
        <w:t xml:space="preserve">detailed in </w:t>
      </w:r>
      <w:r w:rsidR="00314A95">
        <w:rPr>
          <w:b w:val="0"/>
          <w:bCs w:val="0"/>
        </w:rPr>
        <w:t>C</w:t>
      </w:r>
      <w:r w:rsidR="000A4D68">
        <w:rPr>
          <w:b w:val="0"/>
          <w:bCs w:val="0"/>
        </w:rPr>
        <w:t xml:space="preserve">lause </w:t>
      </w:r>
      <w:r w:rsidR="000A4D68">
        <w:rPr>
          <w:b w:val="0"/>
          <w:bCs w:val="0"/>
        </w:rPr>
        <w:fldChar w:fldCharType="begin"/>
      </w:r>
      <w:r w:rsidR="000A4D68">
        <w:rPr>
          <w:b w:val="0"/>
          <w:bCs w:val="0"/>
        </w:rPr>
        <w:instrText xml:space="preserve"> REF _Ref160445048 \r \h </w:instrText>
      </w:r>
      <w:r w:rsidR="000A4D68">
        <w:rPr>
          <w:b w:val="0"/>
          <w:bCs w:val="0"/>
        </w:rPr>
      </w:r>
      <w:r w:rsidR="000A4D68">
        <w:rPr>
          <w:b w:val="0"/>
          <w:bCs w:val="0"/>
        </w:rPr>
        <w:fldChar w:fldCharType="separate"/>
      </w:r>
      <w:r w:rsidR="00663122">
        <w:rPr>
          <w:b w:val="0"/>
          <w:bCs w:val="0"/>
          <w:cs/>
        </w:rPr>
        <w:t>‎</w:t>
      </w:r>
      <w:r w:rsidR="00663122">
        <w:rPr>
          <w:b w:val="0"/>
          <w:bCs w:val="0"/>
        </w:rPr>
        <w:t>22.5</w:t>
      </w:r>
      <w:r w:rsidR="000A4D68">
        <w:rPr>
          <w:b w:val="0"/>
          <w:bCs w:val="0"/>
        </w:rPr>
        <w:fldChar w:fldCharType="end"/>
      </w:r>
      <w:r w:rsidR="000A4D68">
        <w:rPr>
          <w:b w:val="0"/>
          <w:bCs w:val="0"/>
        </w:rPr>
        <w:t xml:space="preserve"> below.</w:t>
      </w:r>
      <w:bookmarkEnd w:id="189"/>
      <w:r w:rsidRPr="000A4D68" w:rsidR="00AC18E3">
        <w:rPr>
          <w:rStyle w:val="EndnoteReference"/>
          <w:b w:val="0"/>
          <w:bCs w:val="0"/>
          <w:lang w:bidi="he-IL"/>
        </w:rPr>
        <w:endnoteReference w:id="34"/>
      </w:r>
    </w:p>
    <w:p w:rsidR="000A4D68" w:rsidP="001E0B2F" w:rsidRDefault="000A4D68" w14:paraId="51C2569D" w14:textId="0380B21E">
      <w:pPr>
        <w:pStyle w:val="ssNoHeading2"/>
        <w:numPr>
          <w:ilvl w:val="2"/>
          <w:numId w:val="76"/>
        </w:numPr>
      </w:pPr>
      <w:bookmarkStart w:name="_Ref160445048" w:id="190"/>
      <w:r>
        <w:t xml:space="preserve">The Manager shall, following the commencement of a suspension in accordance with </w:t>
      </w:r>
      <w:r w:rsidR="00314A95">
        <w:t>C</w:t>
      </w:r>
      <w:r>
        <w:t xml:space="preserve">lause </w:t>
      </w:r>
      <w:r>
        <w:fldChar w:fldCharType="begin"/>
      </w:r>
      <w:r>
        <w:instrText xml:space="preserve"> REF _Ref121991381 \r \h </w:instrText>
      </w:r>
      <w:r>
        <w:fldChar w:fldCharType="separate"/>
      </w:r>
      <w:r w:rsidR="00663122">
        <w:rPr>
          <w:cs/>
        </w:rPr>
        <w:t>‎</w:t>
      </w:r>
      <w:r w:rsidR="00663122">
        <w:t>22.3</w:t>
      </w:r>
      <w:r>
        <w:fldChar w:fldCharType="end"/>
      </w:r>
      <w:r>
        <w:t xml:space="preserve"> above, ensure that it publishes (on its website of by other general means) sufficient details to keep Unitholders appropriately informed about the suspension including, if known, its likely duration. </w:t>
      </w:r>
    </w:p>
    <w:bookmarkEnd w:id="190"/>
    <w:p w:rsidR="00D56FFD" w:rsidP="001E0B2F" w:rsidRDefault="00D56FFD" w14:paraId="0B85C165" w14:textId="1C8FBFEB">
      <w:pPr>
        <w:pStyle w:val="ssNoHeading2"/>
        <w:numPr>
          <w:ilvl w:val="2"/>
          <w:numId w:val="76"/>
        </w:numPr>
      </w:pPr>
      <w:r>
        <w:t xml:space="preserve">The Manager may determine to permit deferral of redemptions of Units at a </w:t>
      </w:r>
      <w:r w:rsidR="00B8327D">
        <w:t>Valuation</w:t>
      </w:r>
      <w:r w:rsidR="00D135F7">
        <w:t xml:space="preserve"> Point</w:t>
      </w:r>
      <w:r>
        <w:t xml:space="preserve"> to the next </w:t>
      </w:r>
      <w:r w:rsidR="00B8327D">
        <w:t>Valuation</w:t>
      </w:r>
      <w:r w:rsidR="00D135F7">
        <w:t xml:space="preserve"> Point</w:t>
      </w:r>
      <w:r>
        <w:t xml:space="preserve"> where the requested redemptions exceed a percentage of the [</w:t>
      </w:r>
      <w:r w:rsidR="00AA45EA">
        <w:t xml:space="preserve">Scheme’s / </w:t>
      </w:r>
      <w:r>
        <w:t>Sub-Fund’s]</w:t>
      </w:r>
      <w:r w:rsidRPr="002B14E8" w:rsidR="00767FB7">
        <w:rPr>
          <w:vertAlign w:val="superscript"/>
        </w:rPr>
        <w:t>2</w:t>
      </w:r>
      <w:r>
        <w:t xml:space="preserve"> value which is disclosed in the Prospectus, on such basis as is consistent with the requirements of the FCA Rules. In addition, the Manager may determine to refuse requested redemptions that exceed a percentage of [</w:t>
      </w:r>
      <w:r w:rsidR="00AA45EA">
        <w:t xml:space="preserve">the Scheme’s / </w:t>
      </w:r>
      <w:r>
        <w:t>a Sub-Fund’s]</w:t>
      </w:r>
      <w:r w:rsidRPr="002B14E8" w:rsidR="00767FB7">
        <w:rPr>
          <w:vertAlign w:val="superscript"/>
        </w:rPr>
        <w:t>2</w:t>
      </w:r>
      <w:r>
        <w:t xml:space="preserve"> value which is disclosed in the Prospectus, where such percentage may be applied per Unitholder and/or per day on which the relevant Units may be dealt, on such basis as is consistent with the requirements of the FCA Rules.</w:t>
      </w:r>
    </w:p>
    <w:p w:rsidR="00C21A42" w:rsidP="001E0B2F" w:rsidRDefault="00C21A42" w14:paraId="2C0F7026" w14:textId="756E6B50">
      <w:pPr>
        <w:pStyle w:val="ssNoHeading2"/>
        <w:numPr>
          <w:ilvl w:val="2"/>
          <w:numId w:val="76"/>
        </w:numPr>
      </w:pPr>
      <w:r>
        <w:t>The Manager may determine that, in certain circumstances, it may be detrimental for existing Unitholders for it to accept an application for Units representing more than a certain monetary value or a certain percentage of the Net Asset Value of [a Sub-Fund</w:t>
      </w:r>
      <w:r w:rsidR="002F09C2">
        <w:t xml:space="preserve"> </w:t>
      </w:r>
      <w:r>
        <w:t>/</w:t>
      </w:r>
      <w:r w:rsidR="002F09C2">
        <w:t xml:space="preserve"> </w:t>
      </w:r>
      <w:r>
        <w:t>the Scheme]</w:t>
      </w:r>
      <w:r>
        <w:rPr>
          <w:vertAlign w:val="superscript"/>
        </w:rPr>
        <w:t>2</w:t>
      </w:r>
      <w:r>
        <w:t xml:space="preserve"> and in such case may, in accordance with the terms of the Prospectus:</w:t>
      </w:r>
    </w:p>
    <w:p w:rsidR="00C21A42" w:rsidP="001E0B2F" w:rsidRDefault="00C21A42" w14:paraId="674E211E" w14:textId="3D5E5F23">
      <w:pPr>
        <w:pStyle w:val="ssNoHeading3"/>
        <w:numPr>
          <w:ilvl w:val="3"/>
          <w:numId w:val="76"/>
        </w:numPr>
      </w:pPr>
      <w:r>
        <w:t>limit applications for Units accordingly,</w:t>
      </w:r>
    </w:p>
    <w:p w:rsidR="00C21A42" w:rsidP="001E0B2F" w:rsidRDefault="00C21A42" w14:paraId="3B596865" w14:textId="77777777">
      <w:pPr>
        <w:pStyle w:val="ssNoHeading3"/>
        <w:numPr>
          <w:ilvl w:val="3"/>
          <w:numId w:val="76"/>
        </w:numPr>
      </w:pPr>
      <w:r>
        <w:t xml:space="preserve">postpone applications, and/or </w:t>
      </w:r>
    </w:p>
    <w:p w:rsidR="00C21A42" w:rsidP="001E0B2F" w:rsidRDefault="00C21A42" w14:paraId="7006C521" w14:textId="35531B12">
      <w:pPr>
        <w:pStyle w:val="ssNoHeading3"/>
        <w:numPr>
          <w:ilvl w:val="3"/>
          <w:numId w:val="76"/>
        </w:numPr>
      </w:pPr>
      <w:r>
        <w:t>in consultation with the relevant applicant(s), require such applicant(s) to stagger the proposed application for Units over an agreed period of time, in which case affected applicants will undertake irrevocably to subscribe and pay for Units in the [Sub-Fund</w:t>
      </w:r>
      <w:r w:rsidR="002F09C2">
        <w:t xml:space="preserve"> </w:t>
      </w:r>
      <w:r>
        <w:t>/</w:t>
      </w:r>
      <w:r w:rsidR="002F09C2">
        <w:t xml:space="preserve"> </w:t>
      </w:r>
      <w:r>
        <w:t>Scheme]</w:t>
      </w:r>
      <w:r>
        <w:rPr>
          <w:vertAlign w:val="superscript"/>
        </w:rPr>
        <w:t>2</w:t>
      </w:r>
      <w:r>
        <w:t xml:space="preserve"> up to the amount of their commitment in such tranches, over such period, with such frequency and subject to such other terms and conditions as may be agreed with the Manager.</w:t>
      </w:r>
    </w:p>
    <w:p w:rsidR="00C21A42" w:rsidP="001E0B2F" w:rsidRDefault="00C21A42" w14:paraId="725BC27D" w14:textId="159EC881">
      <w:pPr>
        <w:pStyle w:val="ssNoHeading2"/>
        <w:numPr>
          <w:ilvl w:val="2"/>
          <w:numId w:val="76"/>
        </w:numPr>
      </w:pPr>
      <w:r>
        <w:t>The Manager may compulsorily redeem and/or cancel Units in accordance with the terms of the Prospectus.</w:t>
      </w:r>
    </w:p>
    <w:p w:rsidR="00C21A42" w:rsidP="001E0B2F" w:rsidRDefault="00C21A42" w14:paraId="45413CBB" w14:textId="388A9A2D">
      <w:pPr>
        <w:pStyle w:val="ssNoHeading2"/>
        <w:numPr>
          <w:ilvl w:val="2"/>
          <w:numId w:val="76"/>
        </w:numPr>
      </w:pPr>
      <w:r>
        <w:t xml:space="preserve">[The Manager may compulsorily redeem and/or cancel such number of Units as is required to effect a pro-rata reduction in the number of Units held by a Unitholder in order to issue Special Investment Units in accordance with Clause </w:t>
      </w:r>
      <w:r>
        <w:fldChar w:fldCharType="begin"/>
      </w:r>
      <w:r>
        <w:instrText xml:space="preserve"> REF _Ref117866075 \r \h </w:instrText>
      </w:r>
      <w:r>
        <w:fldChar w:fldCharType="separate"/>
      </w:r>
      <w:r w:rsidR="00663122">
        <w:rPr>
          <w:cs/>
        </w:rPr>
        <w:t>‎</w:t>
      </w:r>
      <w:r w:rsidR="00663122">
        <w:t>16</w:t>
      </w:r>
      <w:r>
        <w:fldChar w:fldCharType="end"/>
      </w:r>
      <w:r>
        <w:t>.</w:t>
      </w:r>
    </w:p>
    <w:p w:rsidR="00C21A42" w:rsidP="001E0B2F" w:rsidRDefault="00C21A42" w14:paraId="72C3AD91" w14:textId="1071B9E8">
      <w:pPr>
        <w:pStyle w:val="ssNoHeading2"/>
        <w:numPr>
          <w:ilvl w:val="2"/>
          <w:numId w:val="76"/>
        </w:numPr>
      </w:pPr>
      <w:bookmarkStart w:name="_Ref95067673" w:id="191"/>
      <w:r>
        <w:t>With regard to redemption of Special Investment Units:</w:t>
      </w:r>
      <w:bookmarkEnd w:id="191"/>
    </w:p>
    <w:p w:rsidR="00C21A42" w:rsidP="001E0B2F" w:rsidRDefault="00C21A42" w14:paraId="57E6997F" w14:textId="44F4DB84">
      <w:pPr>
        <w:pStyle w:val="ssNoHeading3"/>
        <w:numPr>
          <w:ilvl w:val="3"/>
          <w:numId w:val="76"/>
        </w:numPr>
      </w:pPr>
      <w:r>
        <w:t>the [</w:t>
      </w:r>
      <w:r w:rsidRPr="00C51A3E">
        <w:t>Depositary</w:t>
      </w:r>
      <w:r>
        <w:t>] shall redeem Special Investment Units only when so determined by the Manager and in accordance with such procedures as may be determined by the Manager in its sole discretion from time to time;</w:t>
      </w:r>
    </w:p>
    <w:p w:rsidR="00C21A42" w:rsidP="001E0B2F" w:rsidRDefault="00C21A42" w14:paraId="449B86DC" w14:textId="1A25EC97">
      <w:pPr>
        <w:pStyle w:val="ssNoHeading3"/>
        <w:numPr>
          <w:ilvl w:val="3"/>
          <w:numId w:val="76"/>
        </w:numPr>
      </w:pPr>
      <w:r>
        <w:lastRenderedPageBreak/>
        <w:t>where the Manager determines that any Special Investment Units are to be redeemed, the Unitholders holding such Special Investment Units will be paid a price per Special Investment Unit determined by the Manager in its sole discretion having regard to the actual realisation value of any Side Pocket Assets attributed to those Special Investment Units and deducting therefrom a provision for any fees and expenses which have accrued or otherwise have become due and payable in respect of those Special Investment Units and the assets attributed thereto and rounding the resulting total to such number of decimal places as the Manager may determine;</w:t>
      </w:r>
    </w:p>
    <w:p w:rsidR="00C21A42" w:rsidP="001E0B2F" w:rsidRDefault="00C21A42" w14:paraId="1D918B14" w14:textId="76A377FD">
      <w:pPr>
        <w:pStyle w:val="ssNoHeading3"/>
        <w:numPr>
          <w:ilvl w:val="3"/>
          <w:numId w:val="76"/>
        </w:numPr>
      </w:pPr>
      <w:r>
        <w:t xml:space="preserve">any amount payable to a Unitholder under this Clause </w:t>
      </w:r>
      <w:r>
        <w:fldChar w:fldCharType="begin"/>
      </w:r>
      <w:r>
        <w:instrText xml:space="preserve"> REF _Ref95067673 \r \h  \* MERGEFORMAT </w:instrText>
      </w:r>
      <w:r>
        <w:fldChar w:fldCharType="separate"/>
      </w:r>
      <w:r w:rsidR="00663122">
        <w:rPr>
          <w:cs/>
        </w:rPr>
        <w:t>‎</w:t>
      </w:r>
      <w:r w:rsidR="00663122">
        <w:t>22.10</w:t>
      </w:r>
      <w:r>
        <w:fldChar w:fldCharType="end"/>
      </w:r>
      <w:r>
        <w:t xml:space="preserve"> shall be paid in the Base Currency or in such other currencies as the Manager shall have determined as appropriate and shall be dispatched as soon as reasonably practicable following the realisation of the assets attributable to the Special Investment Units; and</w:t>
      </w:r>
    </w:p>
    <w:p w:rsidR="00C21A42" w:rsidP="001E0B2F" w:rsidRDefault="00C21A42" w14:paraId="554246EB" w14:textId="33475D76">
      <w:pPr>
        <w:pStyle w:val="ssNoHeading3"/>
        <w:numPr>
          <w:ilvl w:val="3"/>
          <w:numId w:val="76"/>
        </w:numPr>
      </w:pPr>
      <w:r>
        <w:t>the Manager may satisfy any redemption of Special Investment Units by the transfer of assets in specie to a Unitholder in accordance with the provisions of the Prospectus.]</w:t>
      </w:r>
      <w:r>
        <w:rPr>
          <w:rStyle w:val="EndnoteReference"/>
        </w:rPr>
        <w:endnoteReference w:id="35"/>
      </w:r>
    </w:p>
    <w:p w:rsidRPr="009F4300" w:rsidR="00F238C5" w:rsidP="00F238C5" w:rsidRDefault="0073048A" w14:paraId="289680DC" w14:textId="0A32F3BD">
      <w:pPr>
        <w:pStyle w:val="Heading1"/>
        <w:rPr>
          <w:b w:val="0"/>
          <w:bCs w:val="0"/>
          <w:u w:val="none"/>
        </w:rPr>
      </w:pPr>
      <w:bookmarkStart w:name="_Toc179391852" w:id="192"/>
      <w:r w:rsidRPr="009F4300">
        <w:t>Transfers of Units</w:t>
      </w:r>
      <w:bookmarkEnd w:id="187"/>
      <w:r w:rsidRPr="00BA397A" w:rsidR="00BA397A">
        <w:rPr>
          <w:rStyle w:val="EndnoteReference"/>
          <w:b w:val="0"/>
          <w:bCs w:val="0"/>
          <w:u w:val="none"/>
        </w:rPr>
        <w:endnoteReference w:id="36"/>
      </w:r>
      <w:bookmarkStart w:name="_NN969" w:id="193"/>
      <w:bookmarkEnd w:id="193"/>
      <w:bookmarkEnd w:id="192"/>
    </w:p>
    <w:p w:rsidRPr="009F4300" w:rsidR="00F238C5" w:rsidP="00F238C5" w:rsidRDefault="00F238C5" w14:paraId="30DA4DDE" w14:textId="279CB103">
      <w:pPr>
        <w:pStyle w:val="ssNoHeading2"/>
      </w:pPr>
      <w:r w:rsidRPr="009F4300">
        <w:t xml:space="preserve">Units </w:t>
      </w:r>
      <w:r w:rsidR="00767FB7">
        <w:t>[</w:t>
      </w:r>
      <w:r w:rsidRPr="009F4300">
        <w:t xml:space="preserve">in each </w:t>
      </w:r>
      <w:r w:rsidR="00D30F5C">
        <w:t>Sub-Fund</w:t>
      </w:r>
      <w:r w:rsidR="00767FB7">
        <w:t>]</w:t>
      </w:r>
      <w:r w:rsidRPr="002B14E8" w:rsidR="00767FB7">
        <w:rPr>
          <w:vertAlign w:val="superscript"/>
        </w:rPr>
        <w:t>2</w:t>
      </w:r>
      <w:r w:rsidRPr="009F4300">
        <w:t xml:space="preserve"> are transferable in accordance with the Regulations, except that no Unit may be transferred to anyone who </w:t>
      </w:r>
      <w:r w:rsidR="0094037D">
        <w:t>is not an Eligible Investor</w:t>
      </w:r>
      <w:r w:rsidRPr="009F4300">
        <w:t xml:space="preserve"> (or a nominee for such a Principal</w:t>
      </w:r>
      <w:r w:rsidR="0094037D">
        <w:t xml:space="preserve"> </w:t>
      </w:r>
      <w:r w:rsidRPr="009F4300">
        <w:t xml:space="preserve">as provided for in </w:t>
      </w:r>
      <w:r w:rsidR="00314A95">
        <w:rPr>
          <w:bCs w:val="0"/>
        </w:rPr>
        <w:t>C</w:t>
      </w:r>
      <w:r w:rsidRPr="009F4300">
        <w:rPr>
          <w:bCs w:val="0"/>
        </w:rPr>
        <w:t>lause</w:t>
      </w:r>
      <w:r w:rsidR="00C51A3E">
        <w:rPr>
          <w:bCs w:val="0"/>
        </w:rPr>
        <w:t xml:space="preserve"> </w:t>
      </w:r>
      <w:r w:rsidR="00C51A3E">
        <w:rPr>
          <w:bCs w:val="0"/>
        </w:rPr>
        <w:fldChar w:fldCharType="begin"/>
      </w:r>
      <w:r w:rsidR="00C51A3E">
        <w:rPr>
          <w:bCs w:val="0"/>
        </w:rPr>
        <w:instrText xml:space="preserve"> REF _Ref117858814 \r \h </w:instrText>
      </w:r>
      <w:r w:rsidR="00C51A3E">
        <w:rPr>
          <w:bCs w:val="0"/>
        </w:rPr>
      </w:r>
      <w:r w:rsidR="00C51A3E">
        <w:rPr>
          <w:bCs w:val="0"/>
        </w:rPr>
        <w:fldChar w:fldCharType="separate"/>
      </w:r>
      <w:r w:rsidR="00663122">
        <w:rPr>
          <w:bCs w:val="0"/>
          <w:cs/>
        </w:rPr>
        <w:t>‎</w:t>
      </w:r>
      <w:r w:rsidR="00663122">
        <w:rPr>
          <w:bCs w:val="0"/>
        </w:rPr>
        <w:t>12.3</w:t>
      </w:r>
      <w:r w:rsidR="00C51A3E">
        <w:rPr>
          <w:bCs w:val="0"/>
        </w:rPr>
        <w:fldChar w:fldCharType="end"/>
      </w:r>
      <w:r w:rsidR="0094037D">
        <w:rPr>
          <w:bCs w:val="0"/>
        </w:rPr>
        <w:t>)</w:t>
      </w:r>
      <w:r w:rsidRPr="009F4300">
        <w:rPr>
          <w:b/>
        </w:rPr>
        <w:t xml:space="preserve"> </w:t>
      </w:r>
      <w:r w:rsidRPr="009F4300">
        <w:t xml:space="preserve">and who is eligible to invest in the Class of the transferring Unitholder. </w:t>
      </w:r>
      <w:r w:rsidR="00BC7FF0">
        <w:rPr>
          <w:rStyle w:val="EndnoteReference"/>
        </w:rPr>
        <w:endnoteReference w:id="37"/>
      </w:r>
    </w:p>
    <w:p w:rsidR="009C4DB1" w:rsidP="009C4DB1" w:rsidRDefault="00F238C5" w14:paraId="3E648E8D" w14:textId="150B774D">
      <w:pPr>
        <w:pStyle w:val="ssNoHeading2"/>
      </w:pPr>
      <w:r w:rsidRPr="009F4300">
        <w:t>All transfers of Units shall be effected by transfer in writing</w:t>
      </w:r>
      <w:r w:rsidR="00BA397A">
        <w:rPr>
          <w:rStyle w:val="EndnoteReference"/>
        </w:rPr>
        <w:endnoteReference w:id="38"/>
      </w:r>
      <w:r w:rsidRPr="009F4300">
        <w:t xml:space="preserve"> in any usual or common form or in any other form as may be approved by the </w:t>
      </w:r>
      <w:r w:rsidR="00B21EE2">
        <w:t>Manager</w:t>
      </w:r>
      <w:r w:rsidRPr="009F4300">
        <w:t>.</w:t>
      </w:r>
      <w:r w:rsidR="009C4DB1">
        <w:t xml:space="preserve"> </w:t>
      </w:r>
      <w:r w:rsidRPr="009C4DB1" w:rsidR="009C4DB1">
        <w:t>The signature on the</w:t>
      </w:r>
      <w:r w:rsidR="009C4DB1">
        <w:t xml:space="preserve"> </w:t>
      </w:r>
      <w:r w:rsidRPr="009C4DB1" w:rsidR="009C4DB1">
        <w:t>instrument of transfer may be affixed manually or electronically and may be an actual</w:t>
      </w:r>
      <w:r w:rsidR="009C4DB1">
        <w:t xml:space="preserve"> </w:t>
      </w:r>
      <w:r w:rsidRPr="009C4DB1" w:rsidR="009C4DB1">
        <w:t>signature or a facsimile signature or any form of signature approved by the Manager. The</w:t>
      </w:r>
      <w:r w:rsidR="009C4DB1">
        <w:t xml:space="preserve"> </w:t>
      </w:r>
      <w:r w:rsidRPr="009C4DB1" w:rsidR="009C4DB1">
        <w:t>Manager shall not be bound to enquire as to the genuineness of any signature. The</w:t>
      </w:r>
      <w:r w:rsidR="009C4DB1">
        <w:t xml:space="preserve"> </w:t>
      </w:r>
      <w:r w:rsidRPr="009C4DB1" w:rsidR="009C4DB1">
        <w:t>transferor shall remain the holder of the Units concerned until such time as the name of</w:t>
      </w:r>
      <w:r w:rsidR="009C4DB1">
        <w:t xml:space="preserve"> the transferee is entered in the appropriate register of Units.</w:t>
      </w:r>
      <w:r w:rsidRPr="009F4300">
        <w:t xml:space="preserve"> </w:t>
      </w:r>
    </w:p>
    <w:p w:rsidRPr="009F4300" w:rsidR="00F238C5" w:rsidP="00F238C5" w:rsidRDefault="00F238C5" w14:paraId="41E9FE3D" w14:textId="3B8344DD">
      <w:pPr>
        <w:pStyle w:val="ssNoHeading2"/>
      </w:pPr>
      <w:r w:rsidRPr="009F4300">
        <w:t xml:space="preserve">All prospective transferees, and, where relevant, Principals, are required to complete the Certificate in </w:t>
      </w:r>
      <w:r w:rsidRPr="009F4300" w:rsidR="000B5792">
        <w:fldChar w:fldCharType="begin"/>
      </w:r>
      <w:r w:rsidRPr="009F4300" w:rsidR="000B5792">
        <w:instrText xml:space="preserve"> REF _Ref117249513 \n \h </w:instrText>
      </w:r>
      <w:r w:rsidRPr="009F4300" w:rsidR="000B5792">
        <w:fldChar w:fldCharType="separate"/>
      </w:r>
      <w:r w:rsidR="00663122">
        <w:rPr>
          <w:cs/>
        </w:rPr>
        <w:t>‎</w:t>
      </w:r>
      <w:r w:rsidR="00663122">
        <w:t>Part 6</w:t>
      </w:r>
      <w:r w:rsidRPr="009F4300" w:rsidR="000B5792">
        <w:fldChar w:fldCharType="end"/>
      </w:r>
      <w:r w:rsidRPr="009F4300">
        <w:t xml:space="preserve"> of the Schedule and such other documents and information as the Manager may require before Units may be issued to them.</w:t>
      </w:r>
    </w:p>
    <w:p w:rsidRPr="009F4300" w:rsidR="00F238C5" w:rsidP="00F238C5" w:rsidRDefault="004A008A" w14:paraId="48CB33AA" w14:textId="1155C75E">
      <w:pPr>
        <w:pStyle w:val="ssNoHeading2"/>
      </w:pPr>
      <w:r>
        <w:t>Unless otherwise determined by the Manager, n</w:t>
      </w:r>
      <w:r w:rsidRPr="009F4300" w:rsidR="00F238C5">
        <w:t>o transfer may result in either the transferor or the transferee holding fewer Units of the Class concerned or Units of such Class having a lesser aggregate value than any number or value as is stated in the Prospectus as the minimum number or value of Units of that Class which may be held.</w:t>
      </w:r>
    </w:p>
    <w:p w:rsidRPr="009F4300" w:rsidR="00F238C5" w:rsidP="00F238C5" w:rsidRDefault="0073048A" w14:paraId="3689E1DE" w14:textId="79EE9AEC">
      <w:pPr>
        <w:pStyle w:val="Heading1"/>
      </w:pPr>
      <w:bookmarkStart w:name="_DV_M162" w:id="194"/>
      <w:bookmarkStart w:name="_Toc179391853" w:id="195"/>
      <w:bookmarkEnd w:id="194"/>
      <w:r w:rsidRPr="009F4300">
        <w:rPr>
          <w:w w:val="0"/>
        </w:rPr>
        <w:t>Income</w:t>
      </w:r>
      <w:bookmarkStart w:name="_NN970" w:id="196"/>
      <w:bookmarkEnd w:id="196"/>
      <w:bookmarkEnd w:id="195"/>
    </w:p>
    <w:p w:rsidRPr="00BB26A1" w:rsidR="00BB26A1" w:rsidP="00BB26A1" w:rsidRDefault="00BB26A1" w14:paraId="4B2F2025" w14:textId="020E8CBE">
      <w:pPr>
        <w:pStyle w:val="ssNoHeading2"/>
      </w:pPr>
      <w:bookmarkStart w:name="_DV_M163" w:id="197"/>
      <w:bookmarkEnd w:id="197"/>
      <w:r>
        <w:t>The [Manager]</w:t>
      </w:r>
      <w:r>
        <w:rPr>
          <w:rStyle w:val="EndnoteReference"/>
        </w:rPr>
        <w:endnoteReference w:id="39"/>
      </w:r>
      <w:r>
        <w:t xml:space="preserve"> shall be responsible for the calculation, transfer, allocation and distribution of income for any Class of Units in issue.</w:t>
      </w:r>
    </w:p>
    <w:p w:rsidRPr="009F4300" w:rsidR="00F238C5" w:rsidP="00F238C5" w:rsidRDefault="00F238C5" w14:paraId="62AAC4B5" w14:textId="3267946A">
      <w:pPr>
        <w:pStyle w:val="ssNoHeading2"/>
        <w:rPr>
          <w:w w:val="0"/>
        </w:rPr>
      </w:pPr>
      <w:r w:rsidRPr="009F4300">
        <w:rPr>
          <w:w w:val="0"/>
        </w:rPr>
        <w:t xml:space="preserve">The income attributable to </w:t>
      </w:r>
      <w:r w:rsidR="0094037D">
        <w:rPr>
          <w:w w:val="0"/>
        </w:rPr>
        <w:t>A</w:t>
      </w:r>
      <w:r w:rsidRPr="009F4300">
        <w:rPr>
          <w:w w:val="0"/>
        </w:rPr>
        <w:t xml:space="preserve">ccumulation Units shall be credited to capital at such intervals as are set out in the Prospectus.  Income shall be allocated to holders of </w:t>
      </w:r>
      <w:r w:rsidR="00F567C5">
        <w:rPr>
          <w:w w:val="0"/>
        </w:rPr>
        <w:t>I</w:t>
      </w:r>
      <w:r w:rsidRPr="009F4300">
        <w:rPr>
          <w:w w:val="0"/>
        </w:rPr>
        <w:t xml:space="preserve">ncome Units at such intervals as are stated in the Prospectus.  The </w:t>
      </w:r>
      <w:r w:rsidR="00B21EE2">
        <w:rPr>
          <w:w w:val="0"/>
        </w:rPr>
        <w:t>Manager</w:t>
      </w:r>
      <w:r w:rsidRPr="009F4300">
        <w:rPr>
          <w:w w:val="0"/>
        </w:rPr>
        <w:t xml:space="preserve"> may offer holders of </w:t>
      </w:r>
      <w:r w:rsidR="00F567C5">
        <w:rPr>
          <w:w w:val="0"/>
        </w:rPr>
        <w:t>I</w:t>
      </w:r>
      <w:r w:rsidRPr="009F4300">
        <w:rPr>
          <w:w w:val="0"/>
        </w:rPr>
        <w:t>ncome Units the ability to reinvest allocated income on such terms as are set out in the Prospectus from time to time.</w:t>
      </w:r>
    </w:p>
    <w:p w:rsidRPr="009F4300" w:rsidR="00F238C5" w:rsidP="00F238C5" w:rsidRDefault="00F238C5" w14:paraId="4C494366" w14:textId="2C99DC25">
      <w:pPr>
        <w:pStyle w:val="ssNoHeading2"/>
        <w:rPr>
          <w:w w:val="0"/>
        </w:rPr>
      </w:pPr>
      <w:bookmarkStart w:name="_DV_M166" w:id="198"/>
      <w:bookmarkStart w:name="_DV_M177" w:id="199"/>
      <w:bookmarkStart w:name="_Ref101251462" w:id="200"/>
      <w:bookmarkEnd w:id="198"/>
      <w:bookmarkEnd w:id="199"/>
      <w:r w:rsidRPr="009F4300">
        <w:rPr>
          <w:w w:val="0"/>
        </w:rPr>
        <w:lastRenderedPageBreak/>
        <w:t xml:space="preserve">The </w:t>
      </w:r>
      <w:r w:rsidR="00B21EE2">
        <w:rPr>
          <w:w w:val="0"/>
        </w:rPr>
        <w:t>Manager</w:t>
      </w:r>
      <w:r w:rsidRPr="009F4300">
        <w:rPr>
          <w:w w:val="0"/>
        </w:rPr>
        <w:t xml:space="preserve"> may adopt a method of calculating the amount of income to be allocated between the Units in issue which is different to that which appears in </w:t>
      </w:r>
      <w:r w:rsidRPr="009F4300" w:rsidR="000B5792">
        <w:rPr>
          <w:w w:val="0"/>
        </w:rPr>
        <w:fldChar w:fldCharType="begin"/>
      </w:r>
      <w:r w:rsidRPr="009F4300" w:rsidR="000B5792">
        <w:rPr>
          <w:w w:val="0"/>
        </w:rPr>
        <w:instrText xml:space="preserve"> REF _Ref117249528 \n \h </w:instrText>
      </w:r>
      <w:r w:rsidRPr="009F4300" w:rsidR="000B5792">
        <w:rPr>
          <w:w w:val="0"/>
        </w:rPr>
      </w:r>
      <w:r w:rsidRPr="009F4300" w:rsidR="000B5792">
        <w:rPr>
          <w:w w:val="0"/>
        </w:rPr>
        <w:fldChar w:fldCharType="separate"/>
      </w:r>
      <w:r w:rsidR="00663122">
        <w:rPr>
          <w:w w:val="0"/>
          <w:cs/>
        </w:rPr>
        <w:t>‎</w:t>
      </w:r>
      <w:r w:rsidR="00663122">
        <w:rPr>
          <w:w w:val="0"/>
        </w:rPr>
        <w:t>Part 4</w:t>
      </w:r>
      <w:r w:rsidRPr="009F4300" w:rsidR="000B5792">
        <w:rPr>
          <w:w w:val="0"/>
        </w:rPr>
        <w:fldChar w:fldCharType="end"/>
      </w:r>
      <w:r w:rsidRPr="009F4300">
        <w:rPr>
          <w:w w:val="0"/>
        </w:rPr>
        <w:t xml:space="preserve"> of the Schedule if the </w:t>
      </w:r>
      <w:r w:rsidR="00B21EE2">
        <w:t>Manager</w:t>
      </w:r>
      <w:r w:rsidRPr="009F4300">
        <w:t xml:space="preserve"> </w:t>
      </w:r>
      <w:r w:rsidRPr="009F4300">
        <w:rPr>
          <w:w w:val="0"/>
        </w:rPr>
        <w:t>is satisfied that such method is fair to Unitholders and that it is reasonable to adopt such a method in the given circumstances.</w:t>
      </w:r>
      <w:bookmarkEnd w:id="200"/>
    </w:p>
    <w:p w:rsidRPr="009F4300" w:rsidR="00F238C5" w:rsidP="00F238C5" w:rsidRDefault="00F238C5" w14:paraId="31AB6C42" w14:textId="794464F7">
      <w:pPr>
        <w:pStyle w:val="ssNoHeading2"/>
        <w:rPr>
          <w:w w:val="0"/>
        </w:rPr>
      </w:pPr>
      <w:r w:rsidRPr="009F4300">
        <w:rPr>
          <w:w w:val="0"/>
        </w:rPr>
        <w:t>All distributions unclaimed for a period of six years shall be forfeited and shall be paid into the</w:t>
      </w:r>
      <w:r w:rsidR="00767FB7">
        <w:rPr>
          <w:w w:val="0"/>
        </w:rPr>
        <w:t xml:space="preserve"> [Scheme /</w:t>
      </w:r>
      <w:r w:rsidRPr="009F4300">
        <w:rPr>
          <w:w w:val="0"/>
        </w:rPr>
        <w:t xml:space="preserve"> relevant </w:t>
      </w:r>
      <w:r w:rsidR="00D30F5C">
        <w:rPr>
          <w:w w:val="0"/>
        </w:rPr>
        <w:t>Sub-Fund</w:t>
      </w:r>
      <w:r w:rsidR="00767FB7">
        <w:rPr>
          <w:w w:val="0"/>
        </w:rPr>
        <w:t>]</w:t>
      </w:r>
      <w:r w:rsidRPr="002B14E8" w:rsidR="00767FB7">
        <w:rPr>
          <w:vertAlign w:val="superscript"/>
        </w:rPr>
        <w:t>2</w:t>
      </w:r>
      <w:r w:rsidRPr="009F4300">
        <w:rPr>
          <w:w w:val="0"/>
        </w:rPr>
        <w:t xml:space="preserve"> and become part of its capital property.</w:t>
      </w:r>
    </w:p>
    <w:p w:rsidRPr="009F4300" w:rsidR="00F238C5" w:rsidP="00F238C5" w:rsidRDefault="00F238C5" w14:paraId="1864EF67" w14:textId="6843B3C3">
      <w:pPr>
        <w:pStyle w:val="ssNoHeading2"/>
        <w:rPr>
          <w:w w:val="0"/>
        </w:rPr>
      </w:pPr>
      <w:r w:rsidRPr="009F4300">
        <w:rPr>
          <w:w w:val="0"/>
        </w:rPr>
        <w:t xml:space="preserve">When the holder of any Units in any Class fails or ceases for whatever reason to be entitled to receive distributions or have allocations made in respect of his holding of Units, in terms of the </w:t>
      </w:r>
      <w:r w:rsidR="00B21EE2">
        <w:rPr>
          <w:w w:val="0"/>
        </w:rPr>
        <w:t>Manager</w:t>
      </w:r>
      <w:r w:rsidRPr="009F4300">
        <w:rPr>
          <w:w w:val="0"/>
        </w:rPr>
        <w:t xml:space="preserve"> making or not making any deduction of applicable tax before the distribution or allocation to the Unitholder or in terms of the entitlement of the Unitholder to any particular rate of withholding tax whether or not under an applicable double taxation convention or other agreement, as is envisaged for such Class, he shall, without delay, give notice of this to the </w:t>
      </w:r>
      <w:r w:rsidR="00B21EE2">
        <w:t>Manager</w:t>
      </w:r>
      <w:r w:rsidRPr="009F4300">
        <w:t xml:space="preserve"> </w:t>
      </w:r>
      <w:r w:rsidRPr="009F4300">
        <w:rPr>
          <w:w w:val="0"/>
        </w:rPr>
        <w:t>and the</w:t>
      </w:r>
      <w:r w:rsidRPr="009F4300">
        <w:t xml:space="preserve"> </w:t>
      </w:r>
      <w:r w:rsidR="00B21EE2">
        <w:t>Manager</w:t>
      </w:r>
      <w:r w:rsidRPr="009F4300">
        <w:rPr>
          <w:w w:val="0"/>
        </w:rPr>
        <w:t xml:space="preserve"> shall, upon receipt of such notice, treat the Unitholder concerned as if it had served on the </w:t>
      </w:r>
      <w:r w:rsidR="00B21EE2">
        <w:t>Manager</w:t>
      </w:r>
      <w:r w:rsidRPr="009F4300">
        <w:t xml:space="preserve"> </w:t>
      </w:r>
      <w:r w:rsidRPr="009F4300">
        <w:rPr>
          <w:w w:val="0"/>
        </w:rPr>
        <w:t xml:space="preserve">a </w:t>
      </w:r>
      <w:r w:rsidR="00946669">
        <w:rPr>
          <w:w w:val="0"/>
        </w:rPr>
        <w:t>c</w:t>
      </w:r>
      <w:r w:rsidRPr="009F4300">
        <w:rPr>
          <w:w w:val="0"/>
        </w:rPr>
        <w:t xml:space="preserve">onversion notice or notices pursuant to </w:t>
      </w:r>
      <w:r w:rsidR="00314A95">
        <w:rPr>
          <w:bCs w:val="0"/>
          <w:w w:val="0"/>
        </w:rPr>
        <w:t>C</w:t>
      </w:r>
      <w:r w:rsidRPr="009F4300">
        <w:rPr>
          <w:bCs w:val="0"/>
          <w:w w:val="0"/>
        </w:rPr>
        <w:t xml:space="preserve">lause </w:t>
      </w:r>
      <w:r w:rsidR="00C23729">
        <w:rPr>
          <w:bCs w:val="0"/>
          <w:w w:val="0"/>
        </w:rPr>
        <w:fldChar w:fldCharType="begin"/>
      </w:r>
      <w:r w:rsidR="00C23729">
        <w:rPr>
          <w:bCs w:val="0"/>
          <w:w w:val="0"/>
        </w:rPr>
        <w:instrText xml:space="preserve"> REF _Ref118215502 \r \h </w:instrText>
      </w:r>
      <w:r w:rsidR="00C23729">
        <w:rPr>
          <w:bCs w:val="0"/>
          <w:w w:val="0"/>
        </w:rPr>
      </w:r>
      <w:r w:rsidR="00C23729">
        <w:rPr>
          <w:bCs w:val="0"/>
          <w:w w:val="0"/>
        </w:rPr>
        <w:fldChar w:fldCharType="separate"/>
      </w:r>
      <w:r w:rsidR="00663122">
        <w:rPr>
          <w:bCs w:val="0"/>
          <w:w w:val="0"/>
          <w:cs/>
        </w:rPr>
        <w:t>‎</w:t>
      </w:r>
      <w:r w:rsidR="00663122">
        <w:rPr>
          <w:bCs w:val="0"/>
          <w:w w:val="0"/>
        </w:rPr>
        <w:t>17</w:t>
      </w:r>
      <w:r w:rsidR="00C23729">
        <w:rPr>
          <w:bCs w:val="0"/>
          <w:w w:val="0"/>
        </w:rPr>
        <w:fldChar w:fldCharType="end"/>
      </w:r>
      <w:r w:rsidR="00C23729">
        <w:rPr>
          <w:bCs w:val="0"/>
          <w:w w:val="0"/>
        </w:rPr>
        <w:t xml:space="preserve"> </w:t>
      </w:r>
      <w:r w:rsidRPr="009F4300">
        <w:rPr>
          <w:w w:val="0"/>
        </w:rPr>
        <w:t xml:space="preserve">requesting </w:t>
      </w:r>
      <w:r w:rsidR="00946669">
        <w:rPr>
          <w:w w:val="0"/>
        </w:rPr>
        <w:t>c</w:t>
      </w:r>
      <w:r w:rsidRPr="009F4300">
        <w:rPr>
          <w:w w:val="0"/>
        </w:rPr>
        <w:t xml:space="preserve">onversion of all the relevant units owned by such holder for Units of the Class or Classes which, in the opinion of the </w:t>
      </w:r>
      <w:r w:rsidR="00B21EE2">
        <w:rPr>
          <w:w w:val="0"/>
        </w:rPr>
        <w:t>Manager</w:t>
      </w:r>
      <w:r w:rsidRPr="009F4300">
        <w:rPr>
          <w:w w:val="0"/>
        </w:rPr>
        <w:t xml:space="preserve">, such Unitholder is entitled to hold and most nearly equate to the Class or Classes being </w:t>
      </w:r>
      <w:r w:rsidR="00946669">
        <w:rPr>
          <w:w w:val="0"/>
        </w:rPr>
        <w:t>c</w:t>
      </w:r>
      <w:r w:rsidRPr="009F4300">
        <w:rPr>
          <w:w w:val="0"/>
        </w:rPr>
        <w:t xml:space="preserve">onverted by that holder; or, if there is, in the opinion of the </w:t>
      </w:r>
      <w:r w:rsidR="00B21EE2">
        <w:rPr>
          <w:w w:val="0"/>
        </w:rPr>
        <w:t>Manager</w:t>
      </w:r>
      <w:r w:rsidRPr="009F4300">
        <w:rPr>
          <w:w w:val="0"/>
        </w:rPr>
        <w:t xml:space="preserve">, no suitable alternative Class, the </w:t>
      </w:r>
      <w:r w:rsidR="00B21EE2">
        <w:rPr>
          <w:w w:val="0"/>
        </w:rPr>
        <w:t>Manager</w:t>
      </w:r>
      <w:r w:rsidRPr="009F4300">
        <w:rPr>
          <w:w w:val="0"/>
        </w:rPr>
        <w:t xml:space="preserve"> shall, upon receipt of such notice, treat the Unitholder concerned as if it had given a request in writing for the redemption or cancellation (at the discretion of the </w:t>
      </w:r>
      <w:r w:rsidR="00B21EE2">
        <w:rPr>
          <w:w w:val="0"/>
        </w:rPr>
        <w:t>Manager</w:t>
      </w:r>
      <w:r w:rsidRPr="009F4300">
        <w:rPr>
          <w:w w:val="0"/>
        </w:rPr>
        <w:t xml:space="preserve">) of the affected Units pursuant to the Regulations. </w:t>
      </w:r>
    </w:p>
    <w:p w:rsidRPr="009F4300" w:rsidR="00F238C5" w:rsidP="00F238C5" w:rsidRDefault="00F238C5" w14:paraId="73410A92" w14:textId="212A0EB1">
      <w:pPr>
        <w:pStyle w:val="ssNoHeading2"/>
        <w:rPr>
          <w:w w:val="0"/>
        </w:rPr>
      </w:pPr>
      <w:r w:rsidRPr="009F4300">
        <w:rPr>
          <w:w w:val="0"/>
        </w:rPr>
        <w:t xml:space="preserve">If at any time the </w:t>
      </w:r>
      <w:r w:rsidR="00B21EE2">
        <w:rPr>
          <w:w w:val="0"/>
        </w:rPr>
        <w:t>Manager</w:t>
      </w:r>
      <w:r w:rsidRPr="009F4300">
        <w:rPr>
          <w:w w:val="0"/>
        </w:rPr>
        <w:t xml:space="preserve"> becomes aware that the holder of any Units, on which it makes or intends to make distributions or allocations without any tax being deducted or accounted for by the </w:t>
      </w:r>
      <w:r w:rsidR="00B21EE2">
        <w:rPr>
          <w:w w:val="0"/>
        </w:rPr>
        <w:t>Manager</w:t>
      </w:r>
      <w:r w:rsidRPr="009F4300">
        <w:rPr>
          <w:w w:val="0"/>
        </w:rPr>
        <w:t xml:space="preserve">, has failed or ceased for whatever reason to be entitled to receive distributions or have allocations made in respect of his holding of such Units without deduction of applicable tax or in terms of the Unitholder’s entitlement to any particular rate of withholding tax, whether or not under an applicable double taxation convention or other agreement for the relevant Class, then the </w:t>
      </w:r>
      <w:r w:rsidR="00B21EE2">
        <w:rPr>
          <w:w w:val="0"/>
        </w:rPr>
        <w:t>Manager</w:t>
      </w:r>
      <w:r w:rsidRPr="009F4300">
        <w:t xml:space="preserve"> </w:t>
      </w:r>
      <w:r w:rsidRPr="009F4300">
        <w:rPr>
          <w:w w:val="0"/>
        </w:rPr>
        <w:t xml:space="preserve">shall, without delay, treat the Unitholder concerned as if he had served on the </w:t>
      </w:r>
      <w:r w:rsidR="00B21EE2">
        <w:rPr>
          <w:w w:val="0"/>
        </w:rPr>
        <w:t>Manager</w:t>
      </w:r>
      <w:r w:rsidRPr="009F4300">
        <w:rPr>
          <w:w w:val="0"/>
        </w:rPr>
        <w:t xml:space="preserve"> a </w:t>
      </w:r>
      <w:r w:rsidR="00946669">
        <w:rPr>
          <w:w w:val="0"/>
        </w:rPr>
        <w:t>c</w:t>
      </w:r>
      <w:r w:rsidRPr="009F4300">
        <w:rPr>
          <w:w w:val="0"/>
        </w:rPr>
        <w:t xml:space="preserve">onversion notice or notices pursuant to </w:t>
      </w:r>
      <w:r w:rsidR="00314A95">
        <w:rPr>
          <w:bCs w:val="0"/>
          <w:w w:val="0"/>
        </w:rPr>
        <w:t>C</w:t>
      </w:r>
      <w:r w:rsidRPr="009F4300">
        <w:rPr>
          <w:bCs w:val="0"/>
          <w:w w:val="0"/>
        </w:rPr>
        <w:t xml:space="preserve">lause </w:t>
      </w:r>
      <w:r w:rsidR="00C23729">
        <w:rPr>
          <w:bCs w:val="0"/>
          <w:w w:val="0"/>
        </w:rPr>
        <w:fldChar w:fldCharType="begin"/>
      </w:r>
      <w:r w:rsidR="00C23729">
        <w:rPr>
          <w:bCs w:val="0"/>
          <w:w w:val="0"/>
        </w:rPr>
        <w:instrText xml:space="preserve"> REF _Ref118215520 \r \h </w:instrText>
      </w:r>
      <w:r w:rsidR="00C23729">
        <w:rPr>
          <w:bCs w:val="0"/>
          <w:w w:val="0"/>
        </w:rPr>
      </w:r>
      <w:r w:rsidR="00C23729">
        <w:rPr>
          <w:bCs w:val="0"/>
          <w:w w:val="0"/>
        </w:rPr>
        <w:fldChar w:fldCharType="separate"/>
      </w:r>
      <w:r w:rsidR="00663122">
        <w:rPr>
          <w:bCs w:val="0"/>
          <w:w w:val="0"/>
          <w:cs/>
        </w:rPr>
        <w:t>‎</w:t>
      </w:r>
      <w:r w:rsidR="00663122">
        <w:rPr>
          <w:bCs w:val="0"/>
          <w:w w:val="0"/>
        </w:rPr>
        <w:t>17</w:t>
      </w:r>
      <w:r w:rsidR="00C23729">
        <w:rPr>
          <w:bCs w:val="0"/>
          <w:w w:val="0"/>
        </w:rPr>
        <w:fldChar w:fldCharType="end"/>
      </w:r>
      <w:r w:rsidR="00C23729">
        <w:rPr>
          <w:bCs w:val="0"/>
          <w:w w:val="0"/>
        </w:rPr>
        <w:t xml:space="preserve"> </w:t>
      </w:r>
      <w:r w:rsidRPr="009F4300">
        <w:rPr>
          <w:w w:val="0"/>
        </w:rPr>
        <w:t xml:space="preserve">requesting </w:t>
      </w:r>
      <w:r w:rsidR="00946669">
        <w:rPr>
          <w:w w:val="0"/>
        </w:rPr>
        <w:t>c</w:t>
      </w:r>
      <w:r w:rsidRPr="009F4300">
        <w:rPr>
          <w:w w:val="0"/>
        </w:rPr>
        <w:t xml:space="preserve">onversion of all the relevant Units owned by such holder for Units of the Class or Classes which in the opinion of the </w:t>
      </w:r>
      <w:r w:rsidR="00B21EE2">
        <w:rPr>
          <w:w w:val="0"/>
        </w:rPr>
        <w:t>Manager</w:t>
      </w:r>
      <w:r w:rsidRPr="009F4300">
        <w:rPr>
          <w:w w:val="0"/>
        </w:rPr>
        <w:t xml:space="preserve">, such Unitholder is entitled to hold and most nearly equate to the Class or Classes of Units held by that Unitholder; or, if there is, in the opinion of the </w:t>
      </w:r>
      <w:r w:rsidR="00B21EE2">
        <w:rPr>
          <w:w w:val="0"/>
        </w:rPr>
        <w:t>Manager</w:t>
      </w:r>
      <w:r w:rsidRPr="009F4300">
        <w:rPr>
          <w:w w:val="0"/>
        </w:rPr>
        <w:t xml:space="preserve">, no suitable alternative Class, the </w:t>
      </w:r>
      <w:r w:rsidR="00B21EE2">
        <w:rPr>
          <w:w w:val="0"/>
        </w:rPr>
        <w:t>Manager</w:t>
      </w:r>
      <w:r w:rsidRPr="009F4300">
        <w:rPr>
          <w:w w:val="0"/>
        </w:rPr>
        <w:t xml:space="preserve"> shall treat the Unitholder concerned as if it had given a request in writing for. the redemption or cancellation (at the discretion of the </w:t>
      </w:r>
      <w:r w:rsidR="00B21EE2">
        <w:rPr>
          <w:w w:val="0"/>
        </w:rPr>
        <w:t>Manager</w:t>
      </w:r>
      <w:r w:rsidRPr="009F4300">
        <w:rPr>
          <w:w w:val="0"/>
        </w:rPr>
        <w:t>) of the affected Units pursuant to the Regulations.</w:t>
      </w:r>
    </w:p>
    <w:p w:rsidRPr="009F4300" w:rsidR="00F238C5" w:rsidP="00F238C5" w:rsidRDefault="00F238C5" w14:paraId="213F802C" w14:textId="6DC2CDD7">
      <w:pPr>
        <w:pStyle w:val="ssNoHeading2"/>
      </w:pPr>
      <w:r w:rsidRPr="009F4300">
        <w:rPr>
          <w:w w:val="0"/>
        </w:rPr>
        <w:t xml:space="preserve">An amount equal to any tax charge incurred by the Scheme or </w:t>
      </w:r>
      <w:r w:rsidR="00767FB7">
        <w:rPr>
          <w:w w:val="0"/>
        </w:rPr>
        <w:t>[</w:t>
      </w:r>
      <w:r w:rsidRPr="009F4300">
        <w:rPr>
          <w:w w:val="0"/>
        </w:rPr>
        <w:t xml:space="preserve">relevant </w:t>
      </w:r>
      <w:r w:rsidR="00D30F5C">
        <w:rPr>
          <w:w w:val="0"/>
        </w:rPr>
        <w:t>Sub-Fund</w:t>
      </w:r>
      <w:r w:rsidRPr="009F4300">
        <w:rPr>
          <w:w w:val="0"/>
        </w:rPr>
        <w:t>,</w:t>
      </w:r>
      <w:r w:rsidR="00767FB7">
        <w:rPr>
          <w:w w:val="0"/>
        </w:rPr>
        <w:t>]</w:t>
      </w:r>
      <w:r w:rsidRPr="002B14E8" w:rsidR="00767FB7">
        <w:rPr>
          <w:vertAlign w:val="superscript"/>
        </w:rPr>
        <w:t>2</w:t>
      </w:r>
      <w:r w:rsidRPr="009F4300">
        <w:rPr>
          <w:w w:val="0"/>
        </w:rPr>
        <w:t xml:space="preserve"> Class or other Unitholder, as appropriate, or for which the Depositary or </w:t>
      </w:r>
      <w:r w:rsidR="00B21EE2">
        <w:t>Manager</w:t>
      </w:r>
      <w:r w:rsidRPr="009F4300">
        <w:t xml:space="preserve"> </w:t>
      </w:r>
      <w:r w:rsidRPr="009F4300">
        <w:rPr>
          <w:w w:val="0"/>
        </w:rPr>
        <w:t xml:space="preserve">may be held liable as a result of a </w:t>
      </w:r>
      <w:r w:rsidR="00946669">
        <w:rPr>
          <w:w w:val="0"/>
        </w:rPr>
        <w:t>c</w:t>
      </w:r>
      <w:r w:rsidRPr="009F4300">
        <w:rPr>
          <w:w w:val="0"/>
        </w:rPr>
        <w:t xml:space="preserve">onversion pursuant to </w:t>
      </w:r>
      <w:r w:rsidR="00314A95">
        <w:rPr>
          <w:bCs w:val="0"/>
          <w:w w:val="0"/>
        </w:rPr>
        <w:t>C</w:t>
      </w:r>
      <w:r w:rsidRPr="009F4300">
        <w:rPr>
          <w:bCs w:val="0"/>
          <w:w w:val="0"/>
        </w:rPr>
        <w:t xml:space="preserve">lause </w:t>
      </w:r>
      <w:r w:rsidR="00C23729">
        <w:rPr>
          <w:bCs w:val="0"/>
          <w:w w:val="0"/>
        </w:rPr>
        <w:fldChar w:fldCharType="begin"/>
      </w:r>
      <w:r w:rsidR="00C23729">
        <w:rPr>
          <w:bCs w:val="0"/>
          <w:w w:val="0"/>
        </w:rPr>
        <w:instrText xml:space="preserve"> REF _Ref118215542 \r \h </w:instrText>
      </w:r>
      <w:r w:rsidR="00C23729">
        <w:rPr>
          <w:bCs w:val="0"/>
          <w:w w:val="0"/>
        </w:rPr>
      </w:r>
      <w:r w:rsidR="00C23729">
        <w:rPr>
          <w:bCs w:val="0"/>
          <w:w w:val="0"/>
        </w:rPr>
        <w:fldChar w:fldCharType="separate"/>
      </w:r>
      <w:r w:rsidR="00663122">
        <w:rPr>
          <w:bCs w:val="0"/>
          <w:w w:val="0"/>
          <w:cs/>
        </w:rPr>
        <w:t>‎</w:t>
      </w:r>
      <w:r w:rsidR="00663122">
        <w:rPr>
          <w:bCs w:val="0"/>
          <w:w w:val="0"/>
        </w:rPr>
        <w:t>17</w:t>
      </w:r>
      <w:r w:rsidR="00C23729">
        <w:rPr>
          <w:bCs w:val="0"/>
          <w:w w:val="0"/>
        </w:rPr>
        <w:fldChar w:fldCharType="end"/>
      </w:r>
      <w:r w:rsidR="00C23729">
        <w:rPr>
          <w:bCs w:val="0"/>
          <w:w w:val="0"/>
        </w:rPr>
        <w:t xml:space="preserve"> </w:t>
      </w:r>
      <w:r w:rsidRPr="009F4300">
        <w:rPr>
          <w:w w:val="0"/>
        </w:rPr>
        <w:t xml:space="preserve">and the Prospectus shall be recoverable from the Unitholder concerned and may be accounted for in any adjustment made of the number of new Units to be issued pursuant to the Prospectus </w:t>
      </w:r>
      <w:r w:rsidRPr="009F4300">
        <w:t xml:space="preserve">or otherwise in accordance with </w:t>
      </w:r>
      <w:r w:rsidR="00314A95">
        <w:rPr>
          <w:bCs w:val="0"/>
        </w:rPr>
        <w:t>C</w:t>
      </w:r>
      <w:r w:rsidRPr="009F4300">
        <w:rPr>
          <w:bCs w:val="0"/>
        </w:rPr>
        <w:t xml:space="preserve">lause </w:t>
      </w:r>
      <w:r w:rsidRPr="009F4300">
        <w:rPr>
          <w:bCs w:val="0"/>
        </w:rPr>
        <w:fldChar w:fldCharType="begin"/>
      </w:r>
      <w:r w:rsidRPr="009F4300">
        <w:rPr>
          <w:bCs w:val="0"/>
        </w:rPr>
        <w:instrText xml:space="preserve"> REF _Ref371268462 \r \h  \* MERGEFORMAT </w:instrText>
      </w:r>
      <w:r w:rsidRPr="009F4300">
        <w:rPr>
          <w:bCs w:val="0"/>
        </w:rPr>
      </w:r>
      <w:r w:rsidRPr="009F4300">
        <w:rPr>
          <w:bCs w:val="0"/>
        </w:rPr>
        <w:fldChar w:fldCharType="separate"/>
      </w:r>
      <w:r w:rsidR="00663122">
        <w:rPr>
          <w:bCs w:val="0"/>
          <w:cs/>
        </w:rPr>
        <w:t>‎</w:t>
      </w:r>
      <w:r w:rsidR="00663122">
        <w:rPr>
          <w:bCs w:val="0"/>
        </w:rPr>
        <w:t>30.2</w:t>
      </w:r>
      <w:r w:rsidRPr="009F4300">
        <w:rPr>
          <w:bCs w:val="0"/>
        </w:rPr>
        <w:fldChar w:fldCharType="end"/>
      </w:r>
      <w:r w:rsidRPr="009F4300">
        <w:rPr>
          <w:i/>
          <w:iCs/>
        </w:rPr>
        <w:t>)</w:t>
      </w:r>
      <w:r w:rsidRPr="009F4300">
        <w:t>.</w:t>
      </w:r>
    </w:p>
    <w:p w:rsidRPr="009F4300" w:rsidR="00F238C5" w:rsidP="00F238C5" w:rsidRDefault="00BB26A1" w14:paraId="1C24D8A6" w14:textId="79812520">
      <w:pPr>
        <w:pStyle w:val="Heading1"/>
        <w:rPr>
          <w:b w:val="0"/>
          <w:bCs w:val="0"/>
          <w:u w:val="none"/>
        </w:rPr>
      </w:pPr>
      <w:bookmarkStart w:name="_DV_M178" w:id="201"/>
      <w:bookmarkStart w:name="_Toc179391854" w:id="202"/>
      <w:bookmarkEnd w:id="201"/>
      <w:r>
        <w:rPr>
          <w:color w:val="000000"/>
          <w:w w:val="0"/>
        </w:rPr>
        <w:t>[</w:t>
      </w:r>
      <w:r w:rsidRPr="009F4300" w:rsidR="0073048A">
        <w:rPr>
          <w:color w:val="000000"/>
          <w:w w:val="0"/>
        </w:rPr>
        <w:t>Income Equalisation</w:t>
      </w:r>
      <w:r>
        <w:rPr>
          <w:color w:val="000000"/>
          <w:w w:val="0"/>
        </w:rPr>
        <w:t>]</w:t>
      </w:r>
      <w:r w:rsidRPr="00BA397A" w:rsidR="00BA397A">
        <w:rPr>
          <w:rStyle w:val="EndnoteReference"/>
          <w:b w:val="0"/>
          <w:bCs w:val="0"/>
          <w:color w:val="000000"/>
          <w:w w:val="0"/>
          <w:u w:val="none"/>
        </w:rPr>
        <w:endnoteReference w:id="40"/>
      </w:r>
      <w:bookmarkEnd w:id="202"/>
    </w:p>
    <w:p w:rsidRPr="009F4300" w:rsidR="00F238C5" w:rsidP="00F238C5" w:rsidRDefault="00F238C5" w14:paraId="4C9828C7" w14:textId="6222838A">
      <w:pPr>
        <w:pStyle w:val="ssNoHeading2"/>
        <w:rPr>
          <w:w w:val="0"/>
        </w:rPr>
      </w:pPr>
      <w:bookmarkStart w:name="_DV_M179" w:id="203"/>
      <w:bookmarkStart w:name="_Ref524971358" w:id="204"/>
      <w:bookmarkEnd w:id="203"/>
      <w:r w:rsidRPr="009F4300">
        <w:rPr>
          <w:w w:val="0"/>
        </w:rPr>
        <w:t xml:space="preserve">If the Prospectus of the Scheme provides in relation to a Class that a policy of income equalisation shall apply, an allocation of income (whether annual or interim) to be made in respect of each Unit issued by the Depositary or sold by the </w:t>
      </w:r>
      <w:r w:rsidR="00B21EE2">
        <w:rPr>
          <w:w w:val="0"/>
        </w:rPr>
        <w:t>Manager</w:t>
      </w:r>
      <w:r w:rsidRPr="009F4300">
        <w:rPr>
          <w:w w:val="0"/>
        </w:rPr>
        <w:t xml:space="preserve"> during the accounting period in respect of which that income allocation is made </w:t>
      </w:r>
      <w:bookmarkStart w:name="_DV_M180" w:id="205"/>
      <w:bookmarkEnd w:id="204"/>
      <w:bookmarkEnd w:id="205"/>
      <w:r w:rsidRPr="009F4300">
        <w:rPr>
          <w:w w:val="0"/>
        </w:rPr>
        <w:t xml:space="preserve">shall be of the same amount as the allocation to be made in respect of the other Units of the same Class but shall include a capital sum (“income equalisation”) representing the amount of, in the case of net paying </w:t>
      </w:r>
      <w:r w:rsidRPr="009F4300">
        <w:rPr>
          <w:w w:val="0"/>
        </w:rPr>
        <w:lastRenderedPageBreak/>
        <w:t>Units, net income included in the price of that Unit and, in the case of gross Units, gross income included in the price of that Unit.</w:t>
      </w:r>
    </w:p>
    <w:p w:rsidRPr="009F4300" w:rsidR="00F238C5" w:rsidP="00F238C5" w:rsidRDefault="00F238C5" w14:paraId="04613748" w14:textId="1DC6CA69">
      <w:pPr>
        <w:pStyle w:val="ssNoHeading2"/>
        <w:rPr>
          <w:w w:val="0"/>
        </w:rPr>
      </w:pPr>
      <w:bookmarkStart w:name="_DV_M183" w:id="206"/>
      <w:bookmarkStart w:name="_Ref101251654" w:id="207"/>
      <w:bookmarkEnd w:id="206"/>
      <w:r w:rsidRPr="009F4300">
        <w:rPr>
          <w:w w:val="0"/>
        </w:rPr>
        <w:t xml:space="preserve">Where the </w:t>
      </w:r>
      <w:r w:rsidR="00B21EE2">
        <w:t>Manager</w:t>
      </w:r>
      <w:r w:rsidRPr="009F4300">
        <w:t xml:space="preserve"> </w:t>
      </w:r>
      <w:r w:rsidRPr="009F4300">
        <w:rPr>
          <w:w w:val="0"/>
        </w:rPr>
        <w:t>re-issues a Unit that it has already redeemed, it may pay to the Depositary an income equalisation amount.  That amount is the element which represents income included in the price of such Unit.</w:t>
      </w:r>
      <w:bookmarkEnd w:id="207"/>
    </w:p>
    <w:p w:rsidRPr="009F4300" w:rsidR="00F238C5" w:rsidP="00F238C5" w:rsidRDefault="00F238C5" w14:paraId="20928898" w14:textId="20369713">
      <w:pPr>
        <w:pStyle w:val="ssNoHeading2"/>
        <w:rPr>
          <w:w w:val="0"/>
        </w:rPr>
      </w:pPr>
      <w:bookmarkStart w:name="_DV_M184" w:id="208"/>
      <w:bookmarkEnd w:id="208"/>
      <w:r w:rsidRPr="009F4300">
        <w:rPr>
          <w:w w:val="0"/>
        </w:rPr>
        <w:t xml:space="preserve">Any amount paid under </w:t>
      </w:r>
      <w:r w:rsidR="00314A95">
        <w:rPr>
          <w:bCs w:val="0"/>
          <w:w w:val="0"/>
        </w:rPr>
        <w:t>C</w:t>
      </w:r>
      <w:r w:rsidRPr="009F4300">
        <w:rPr>
          <w:bCs w:val="0"/>
          <w:w w:val="0"/>
        </w:rPr>
        <w:t xml:space="preserve">lause </w:t>
      </w:r>
      <w:r w:rsidRPr="009F4300">
        <w:rPr>
          <w:bCs w:val="0"/>
        </w:rPr>
        <w:fldChar w:fldCharType="begin"/>
      </w:r>
      <w:r w:rsidRPr="009F4300">
        <w:rPr>
          <w:bCs w:val="0"/>
        </w:rPr>
        <w:instrText xml:space="preserve"> REF _Ref101251654 \r \h  \* MERGEFORMAT </w:instrText>
      </w:r>
      <w:r w:rsidRPr="009F4300">
        <w:rPr>
          <w:bCs w:val="0"/>
        </w:rPr>
      </w:r>
      <w:r w:rsidRPr="009F4300">
        <w:rPr>
          <w:bCs w:val="0"/>
        </w:rPr>
        <w:fldChar w:fldCharType="separate"/>
      </w:r>
      <w:r w:rsidRPr="00663122" w:rsidR="00663122">
        <w:rPr>
          <w:bCs w:val="0"/>
          <w:w w:val="0"/>
          <w:cs/>
        </w:rPr>
        <w:t>‎</w:t>
      </w:r>
      <w:r w:rsidRPr="00663122" w:rsidR="00663122">
        <w:rPr>
          <w:bCs w:val="0"/>
          <w:w w:val="0"/>
        </w:rPr>
        <w:t>25.2</w:t>
      </w:r>
      <w:r w:rsidRPr="009F4300">
        <w:rPr>
          <w:bCs w:val="0"/>
        </w:rPr>
        <w:fldChar w:fldCharType="end"/>
      </w:r>
      <w:r w:rsidRPr="009F4300">
        <w:rPr>
          <w:w w:val="0"/>
        </w:rPr>
        <w:t xml:space="preserve"> above must be paid to the Depositary not later than the next date on which sums are distributed to Unitholders and it must be allocated for distribution, unless the Unit issued was an </w:t>
      </w:r>
      <w:r w:rsidR="0094037D">
        <w:rPr>
          <w:w w:val="0"/>
        </w:rPr>
        <w:t>A</w:t>
      </w:r>
      <w:r w:rsidRPr="009F4300">
        <w:rPr>
          <w:w w:val="0"/>
        </w:rPr>
        <w:t>ccumulation Unit, in which case the amount must be treated as part of the capital property of the Scheme from that date.</w:t>
      </w:r>
    </w:p>
    <w:p w:rsidRPr="009F4300" w:rsidR="00F238C5" w:rsidP="00F238C5" w:rsidRDefault="00F238C5" w14:paraId="308EF4FA" w14:textId="0EA002D7">
      <w:pPr>
        <w:pStyle w:val="ssNoHeading2"/>
        <w:rPr>
          <w:w w:val="0"/>
        </w:rPr>
      </w:pPr>
      <w:bookmarkStart w:name="_DV_M185" w:id="209"/>
      <w:bookmarkEnd w:id="209"/>
      <w:r w:rsidRPr="009F4300">
        <w:rPr>
          <w:w w:val="0"/>
        </w:rPr>
        <w:t xml:space="preserve">Where the </w:t>
      </w:r>
      <w:r w:rsidR="00B21EE2">
        <w:t>Manager</w:t>
      </w:r>
      <w:r w:rsidRPr="009F4300">
        <w:t xml:space="preserve"> </w:t>
      </w:r>
      <w:r w:rsidRPr="009F4300">
        <w:rPr>
          <w:w w:val="0"/>
        </w:rPr>
        <w:t xml:space="preserve">makes a payment under </w:t>
      </w:r>
      <w:r w:rsidR="00314A95">
        <w:rPr>
          <w:bCs w:val="0"/>
          <w:w w:val="0"/>
        </w:rPr>
        <w:t>C</w:t>
      </w:r>
      <w:r w:rsidRPr="009F4300">
        <w:rPr>
          <w:bCs w:val="0"/>
          <w:w w:val="0"/>
        </w:rPr>
        <w:t xml:space="preserve">lause </w:t>
      </w:r>
      <w:r w:rsidRPr="009F4300">
        <w:rPr>
          <w:bCs w:val="0"/>
        </w:rPr>
        <w:fldChar w:fldCharType="begin"/>
      </w:r>
      <w:r w:rsidRPr="009F4300">
        <w:rPr>
          <w:bCs w:val="0"/>
        </w:rPr>
        <w:instrText xml:space="preserve"> REF _Ref101251654 \r \h  \* MERGEFORMAT </w:instrText>
      </w:r>
      <w:r w:rsidRPr="009F4300">
        <w:rPr>
          <w:bCs w:val="0"/>
        </w:rPr>
      </w:r>
      <w:r w:rsidRPr="009F4300">
        <w:rPr>
          <w:bCs w:val="0"/>
        </w:rPr>
        <w:fldChar w:fldCharType="separate"/>
      </w:r>
      <w:r w:rsidRPr="00663122" w:rsidR="00663122">
        <w:rPr>
          <w:bCs w:val="0"/>
          <w:w w:val="0"/>
          <w:cs/>
        </w:rPr>
        <w:t>‎</w:t>
      </w:r>
      <w:r w:rsidRPr="00663122" w:rsidR="00663122">
        <w:rPr>
          <w:bCs w:val="0"/>
          <w:w w:val="0"/>
        </w:rPr>
        <w:t>25.2</w:t>
      </w:r>
      <w:r w:rsidRPr="009F4300">
        <w:rPr>
          <w:bCs w:val="0"/>
        </w:rPr>
        <w:fldChar w:fldCharType="end"/>
      </w:r>
      <w:r w:rsidRPr="009F4300">
        <w:rPr>
          <w:w w:val="0"/>
        </w:rPr>
        <w:t>, the income equalisation in the case of a Unit re-issued by the</w:t>
      </w:r>
      <w:r w:rsidRPr="009F4300">
        <w:t xml:space="preserve"> </w:t>
      </w:r>
      <w:r w:rsidR="00B21EE2">
        <w:t>Manager</w:t>
      </w:r>
      <w:r w:rsidRPr="009F4300">
        <w:rPr>
          <w:w w:val="0"/>
        </w:rPr>
        <w:t xml:space="preserve"> in the accounting period in question is financed out of the income equalisation amounts paid by the </w:t>
      </w:r>
      <w:r w:rsidR="00B21EE2">
        <w:t>Manager</w:t>
      </w:r>
      <w:r w:rsidRPr="009F4300">
        <w:t xml:space="preserve"> </w:t>
      </w:r>
      <w:r w:rsidRPr="009F4300">
        <w:rPr>
          <w:w w:val="0"/>
        </w:rPr>
        <w:t xml:space="preserve">to the Depositary under </w:t>
      </w:r>
      <w:r w:rsidR="00314A95">
        <w:rPr>
          <w:bCs w:val="0"/>
          <w:w w:val="0"/>
        </w:rPr>
        <w:t>C</w:t>
      </w:r>
      <w:r w:rsidRPr="009F4300">
        <w:rPr>
          <w:bCs w:val="0"/>
          <w:w w:val="0"/>
        </w:rPr>
        <w:t xml:space="preserve">lause </w:t>
      </w:r>
      <w:r w:rsidRPr="009F4300">
        <w:rPr>
          <w:bCs w:val="0"/>
        </w:rPr>
        <w:fldChar w:fldCharType="begin"/>
      </w:r>
      <w:r w:rsidRPr="009F4300">
        <w:rPr>
          <w:bCs w:val="0"/>
        </w:rPr>
        <w:instrText xml:space="preserve"> REF _Ref101251654 \r \h  \* MERGEFORMAT </w:instrText>
      </w:r>
      <w:r w:rsidRPr="009F4300">
        <w:rPr>
          <w:bCs w:val="0"/>
        </w:rPr>
      </w:r>
      <w:r w:rsidRPr="009F4300">
        <w:rPr>
          <w:bCs w:val="0"/>
        </w:rPr>
        <w:fldChar w:fldCharType="separate"/>
      </w:r>
      <w:r w:rsidRPr="00663122" w:rsidR="00663122">
        <w:rPr>
          <w:bCs w:val="0"/>
          <w:w w:val="0"/>
          <w:cs/>
        </w:rPr>
        <w:t>‎</w:t>
      </w:r>
      <w:r w:rsidRPr="00663122" w:rsidR="00663122">
        <w:rPr>
          <w:bCs w:val="0"/>
          <w:w w:val="0"/>
        </w:rPr>
        <w:t>25.2</w:t>
      </w:r>
      <w:r w:rsidRPr="009F4300">
        <w:rPr>
          <w:bCs w:val="0"/>
        </w:rPr>
        <w:fldChar w:fldCharType="end"/>
      </w:r>
      <w:r w:rsidRPr="009F4300">
        <w:rPr>
          <w:w w:val="0"/>
        </w:rPr>
        <w:t xml:space="preserve"> above; and, accordingly, the</w:t>
      </w:r>
      <w:r w:rsidRPr="009F4300">
        <w:t xml:space="preserve"> </w:t>
      </w:r>
      <w:r w:rsidR="00B21EE2">
        <w:t>Manager</w:t>
      </w:r>
      <w:r w:rsidRPr="009F4300">
        <w:rPr>
          <w:w w:val="0"/>
        </w:rPr>
        <w:t xml:space="preserve"> shall be paid by the Depositary out of the distribution account (in the case of </w:t>
      </w:r>
      <w:r w:rsidR="00F567C5">
        <w:rPr>
          <w:w w:val="0"/>
        </w:rPr>
        <w:t>I</w:t>
      </w:r>
      <w:r w:rsidRPr="009F4300">
        <w:rPr>
          <w:w w:val="0"/>
        </w:rPr>
        <w:t>ncome Units) and out of the capital property (in the case of accumulation Units) a sum equal to the income equalisation applicable to that Unit when allocations of income are next made for an interim or for an annual accounting period.</w:t>
      </w:r>
    </w:p>
    <w:p w:rsidRPr="009F4300" w:rsidR="00F238C5" w:rsidP="00F238C5" w:rsidRDefault="00B21EE2" w14:paraId="7758F8C7" w14:textId="26255F15">
      <w:pPr>
        <w:pStyle w:val="Heading1"/>
        <w:rPr>
          <w:b w:val="0"/>
          <w:bCs w:val="0"/>
          <w:u w:val="none"/>
        </w:rPr>
      </w:pPr>
      <w:bookmarkStart w:name="_DV_M187" w:id="210"/>
      <w:bookmarkStart w:name="_Toc179391855" w:id="211"/>
      <w:bookmarkEnd w:id="210"/>
      <w:r>
        <w:t>Manager</w:t>
      </w:r>
      <w:r w:rsidRPr="009F4300" w:rsidR="0073048A">
        <w:t xml:space="preserve"> and Depositary </w:t>
      </w:r>
      <w:r w:rsidRPr="009F4300" w:rsidR="0073048A">
        <w:rPr>
          <w:color w:val="000000"/>
          <w:w w:val="0"/>
        </w:rPr>
        <w:t>Charges and Expenses</w:t>
      </w:r>
      <w:bookmarkStart w:name="_NN972" w:id="212"/>
      <w:bookmarkEnd w:id="212"/>
      <w:r w:rsidRPr="00016C3C" w:rsidR="00CE6BAB">
        <w:rPr>
          <w:rStyle w:val="EndnoteReference"/>
          <w:b w:val="0"/>
          <w:bCs w:val="0"/>
          <w:u w:val="none"/>
        </w:rPr>
        <w:endnoteReference w:id="41"/>
      </w:r>
      <w:bookmarkEnd w:id="211"/>
    </w:p>
    <w:p w:rsidRPr="009F4300" w:rsidR="00F238C5" w:rsidP="00F238C5" w:rsidRDefault="00F238C5" w14:paraId="2B4CE1F4" w14:textId="3A70C347">
      <w:pPr>
        <w:pStyle w:val="ssNoHeading2"/>
        <w:rPr>
          <w:w w:val="0"/>
        </w:rPr>
      </w:pPr>
      <w:bookmarkStart w:name="_DV_M188" w:id="213"/>
      <w:bookmarkEnd w:id="213"/>
      <w:r w:rsidRPr="009F4300">
        <w:rPr>
          <w:w w:val="0"/>
        </w:rPr>
        <w:t xml:space="preserve">The respective charges and expenses of the </w:t>
      </w:r>
      <w:r w:rsidR="00B21EE2">
        <w:rPr>
          <w:w w:val="0"/>
        </w:rPr>
        <w:t>Manager</w:t>
      </w:r>
      <w:r w:rsidRPr="009F4300">
        <w:rPr>
          <w:w w:val="0"/>
        </w:rPr>
        <w:t xml:space="preserve"> and the Depositary may be taken out of the Scheme Property as stated in the Prospectus. [The amount of such charges and expenses shall be determined by the </w:t>
      </w:r>
      <w:r w:rsidR="00B21EE2">
        <w:rPr>
          <w:w w:val="0"/>
        </w:rPr>
        <w:t>Manager</w:t>
      </w:r>
      <w:r w:rsidRPr="009F4300">
        <w:rPr>
          <w:w w:val="0"/>
        </w:rPr>
        <w:t>.]</w:t>
      </w:r>
    </w:p>
    <w:p w:rsidRPr="009F4300" w:rsidR="00F238C5" w:rsidP="00F238C5" w:rsidRDefault="00F238C5" w14:paraId="3F852AA1" w14:textId="11894702">
      <w:pPr>
        <w:pStyle w:val="ssNoHeading2"/>
        <w:rPr>
          <w:w w:val="0"/>
        </w:rPr>
      </w:pPr>
      <w:r w:rsidRPr="009F4300">
        <w:rPr>
          <w:w w:val="0"/>
        </w:rPr>
        <w:t xml:space="preserve">The </w:t>
      </w:r>
      <w:r w:rsidR="00B21EE2">
        <w:t>Manager</w:t>
      </w:r>
      <w:r w:rsidRPr="009F4300">
        <w:t xml:space="preserve"> </w:t>
      </w:r>
      <w:r w:rsidRPr="009F4300">
        <w:rPr>
          <w:w w:val="0"/>
        </w:rPr>
        <w:t xml:space="preserve">is entitled to make an initial charge for its own account on the sale of a Unit. The initial charge shall be such an amount as the </w:t>
      </w:r>
      <w:r w:rsidR="00B21EE2">
        <w:t>Manager</w:t>
      </w:r>
      <w:r w:rsidRPr="009F4300">
        <w:rPr>
          <w:w w:val="0"/>
        </w:rPr>
        <w:t xml:space="preserve"> may fix from time to time either generally or in relation to a specific transaction or class of transactions in accordance with the COLL Sourcebook and as is specified in the Prospectus.</w:t>
      </w:r>
    </w:p>
    <w:p w:rsidRPr="009F4300" w:rsidR="00F238C5" w:rsidP="00F238C5" w:rsidRDefault="00F238C5" w14:paraId="72C125EC" w14:textId="4487EF3B">
      <w:pPr>
        <w:pStyle w:val="ssNoHeading2"/>
        <w:rPr>
          <w:color w:val="000000"/>
          <w:w w:val="0"/>
        </w:rPr>
      </w:pPr>
      <w:bookmarkStart w:name="_DV_M189" w:id="214"/>
      <w:bookmarkStart w:name="_DV_M192" w:id="215"/>
      <w:bookmarkStart w:name="_Ref524765437" w:id="216"/>
      <w:bookmarkEnd w:id="214"/>
      <w:bookmarkEnd w:id="215"/>
      <w:r w:rsidRPr="009F4300">
        <w:rPr>
          <w:color w:val="000000"/>
          <w:w w:val="0"/>
        </w:rPr>
        <w:t xml:space="preserve">The </w:t>
      </w:r>
      <w:r w:rsidR="00B21EE2">
        <w:t>Manager</w:t>
      </w:r>
      <w:r w:rsidRPr="009F4300">
        <w:t xml:space="preserve"> </w:t>
      </w:r>
      <w:r w:rsidRPr="009F4300">
        <w:rPr>
          <w:color w:val="000000"/>
          <w:w w:val="0"/>
        </w:rPr>
        <w:t>shall be entitled on the redemption of any Units to receive for its own account an amount fixed from time to time by the</w:t>
      </w:r>
      <w:r w:rsidRPr="009F4300">
        <w:t xml:space="preserve"> </w:t>
      </w:r>
      <w:r w:rsidR="00B21EE2">
        <w:t>Manager</w:t>
      </w:r>
      <w:r w:rsidRPr="009F4300">
        <w:t xml:space="preserve"> and as is specified in the Prospectus.</w:t>
      </w:r>
      <w:r w:rsidRPr="009F4300">
        <w:rPr>
          <w:color w:val="000000"/>
          <w:w w:val="0"/>
        </w:rPr>
        <w:t xml:space="preserve"> </w:t>
      </w:r>
    </w:p>
    <w:p w:rsidRPr="009F4300" w:rsidR="00F238C5" w:rsidP="00F238C5" w:rsidRDefault="00F238C5" w14:paraId="76D8BADA" w14:textId="43AF071D">
      <w:pPr>
        <w:pStyle w:val="ssNoHeading2"/>
        <w:rPr>
          <w:w w:val="0"/>
        </w:rPr>
      </w:pPr>
      <w:r w:rsidRPr="009F4300">
        <w:rPr>
          <w:w w:val="0"/>
        </w:rPr>
        <w:t xml:space="preserve">The </w:t>
      </w:r>
      <w:r w:rsidR="00B21EE2">
        <w:rPr>
          <w:w w:val="0"/>
        </w:rPr>
        <w:t>Manager</w:t>
      </w:r>
      <w:r w:rsidRPr="009F4300">
        <w:rPr>
          <w:w w:val="0"/>
        </w:rPr>
        <w:t xml:space="preserve"> is entitled to receive out of the property of</w:t>
      </w:r>
      <w:r w:rsidR="002F09C2">
        <w:rPr>
          <w:w w:val="0"/>
        </w:rPr>
        <w:t xml:space="preserve"> [the Scheme /</w:t>
      </w:r>
      <w:r w:rsidRPr="009F4300">
        <w:rPr>
          <w:w w:val="0"/>
        </w:rPr>
        <w:t xml:space="preserve"> each </w:t>
      </w:r>
      <w:r w:rsidR="00D30F5C">
        <w:rPr>
          <w:w w:val="0"/>
        </w:rPr>
        <w:t>Sub-Fund</w:t>
      </w:r>
      <w:r w:rsidR="002F09C2">
        <w:rPr>
          <w:w w:val="0"/>
        </w:rPr>
        <w:t>]</w:t>
      </w:r>
      <w:r w:rsidRPr="002B14E8" w:rsidR="002F09C2">
        <w:rPr>
          <w:vertAlign w:val="superscript"/>
        </w:rPr>
        <w:t>2</w:t>
      </w:r>
      <w:r w:rsidRPr="009F4300">
        <w:rPr>
          <w:w w:val="0"/>
        </w:rPr>
        <w:t xml:space="preserve"> for its own account during the continuance of </w:t>
      </w:r>
      <w:r w:rsidR="002F09C2">
        <w:rPr>
          <w:w w:val="0"/>
        </w:rPr>
        <w:t xml:space="preserve">[the Scheme / </w:t>
      </w:r>
      <w:r w:rsidRPr="009F4300">
        <w:rPr>
          <w:w w:val="0"/>
        </w:rPr>
        <w:t xml:space="preserve">that </w:t>
      </w:r>
      <w:r w:rsidR="00D30F5C">
        <w:rPr>
          <w:w w:val="0"/>
        </w:rPr>
        <w:t>Sub-Fund</w:t>
      </w:r>
      <w:r w:rsidR="002F09C2">
        <w:rPr>
          <w:w w:val="0"/>
        </w:rPr>
        <w:t>]</w:t>
      </w:r>
      <w:r w:rsidRPr="002B14E8" w:rsidR="002F09C2">
        <w:rPr>
          <w:vertAlign w:val="superscript"/>
        </w:rPr>
        <w:t>2</w:t>
      </w:r>
      <w:r w:rsidRPr="009F4300">
        <w:rPr>
          <w:w w:val="0"/>
        </w:rPr>
        <w:t xml:space="preserve"> a charge, including periodic, fixed, ad valorem or otherwise as is specified in the Prospectus. Any such charge shall (unless the </w:t>
      </w:r>
      <w:r w:rsidR="00B21EE2">
        <w:rPr>
          <w:w w:val="0"/>
        </w:rPr>
        <w:t>Manager</w:t>
      </w:r>
      <w:r w:rsidRPr="009F4300">
        <w:rPr>
          <w:w w:val="0"/>
        </w:rPr>
        <w:t xml:space="preserve"> decides otherwise) be deemed to accrue from day-to-day.  The </w:t>
      </w:r>
      <w:r w:rsidR="00B21EE2">
        <w:t>Manager</w:t>
      </w:r>
      <w:r w:rsidRPr="009F4300">
        <w:t>’</w:t>
      </w:r>
      <w:r w:rsidRPr="009F4300">
        <w:rPr>
          <w:w w:val="0"/>
        </w:rPr>
        <w:t>s charge may include performance related remuneration.</w:t>
      </w:r>
    </w:p>
    <w:p w:rsidRPr="009F4300" w:rsidR="00F238C5" w:rsidP="00F238C5" w:rsidRDefault="00F238C5" w14:paraId="73854197" w14:textId="031D5400">
      <w:pPr>
        <w:pStyle w:val="ssNoHeading2"/>
        <w:rPr>
          <w:w w:val="0"/>
        </w:rPr>
      </w:pPr>
      <w:bookmarkStart w:name="_DV_M190" w:id="217"/>
      <w:bookmarkStart w:name="_DV_M193" w:id="218"/>
      <w:bookmarkEnd w:id="217"/>
      <w:bookmarkEnd w:id="218"/>
      <w:r w:rsidRPr="009F4300">
        <w:rPr>
          <w:w w:val="0"/>
        </w:rPr>
        <w:t xml:space="preserve">The </w:t>
      </w:r>
      <w:r w:rsidR="00B21EE2">
        <w:t>Manager</w:t>
      </w:r>
      <w:r w:rsidRPr="009F4300">
        <w:t xml:space="preserve"> </w:t>
      </w:r>
      <w:r w:rsidRPr="009F4300">
        <w:rPr>
          <w:w w:val="0"/>
        </w:rPr>
        <w:t xml:space="preserve">is also entitled to receive out of the property of </w:t>
      </w:r>
      <w:r w:rsidR="002F09C2">
        <w:rPr>
          <w:w w:val="0"/>
        </w:rPr>
        <w:t xml:space="preserve">[the Scheme / </w:t>
      </w:r>
      <w:r w:rsidRPr="009F4300">
        <w:rPr>
          <w:w w:val="0"/>
        </w:rPr>
        <w:t xml:space="preserve">each </w:t>
      </w:r>
      <w:r w:rsidR="00D30F5C">
        <w:rPr>
          <w:w w:val="0"/>
        </w:rPr>
        <w:t>Sub-Fund</w:t>
      </w:r>
      <w:r w:rsidR="002F09C2">
        <w:rPr>
          <w:w w:val="0"/>
        </w:rPr>
        <w:t>]</w:t>
      </w:r>
      <w:r w:rsidRPr="002B14E8" w:rsidR="002F09C2">
        <w:rPr>
          <w:vertAlign w:val="superscript"/>
        </w:rPr>
        <w:t>2</w:t>
      </w:r>
      <w:r w:rsidRPr="009F4300">
        <w:rPr>
          <w:w w:val="0"/>
        </w:rPr>
        <w:t xml:space="preserve"> by way of reimbursement of expenses or otherwise such payments as are permitted by the COLL Sourcebook subject to such statement in the Prospectus as may be required by the COLL Sourcebook. Any reimbursement of expenses and other payments shall accrue due when effected and shall be payable as soon as reasonably practicable afterwards.</w:t>
      </w:r>
    </w:p>
    <w:p w:rsidRPr="009F4300" w:rsidR="00F238C5" w:rsidP="00F238C5" w:rsidRDefault="00F238C5" w14:paraId="5A323C8F" w14:textId="1993FACD">
      <w:pPr>
        <w:pStyle w:val="ssNoHeading2"/>
        <w:rPr>
          <w:w w:val="0"/>
        </w:rPr>
      </w:pPr>
      <w:bookmarkStart w:name="_DV_M194" w:id="219"/>
      <w:bookmarkEnd w:id="219"/>
      <w:r w:rsidRPr="009F4300">
        <w:rPr>
          <w:w w:val="0"/>
        </w:rPr>
        <w:t>In particular the [</w:t>
      </w:r>
      <w:r w:rsidR="00B21EE2">
        <w:t>Manager</w:t>
      </w:r>
      <w:r w:rsidRPr="009F4300">
        <w:t xml:space="preserve">]/[Depositary] </w:t>
      </w:r>
      <w:r w:rsidRPr="009F4300">
        <w:rPr>
          <w:w w:val="0"/>
        </w:rPr>
        <w:t xml:space="preserve">shall be entitled to receive out of the property of </w:t>
      </w:r>
      <w:r w:rsidR="002F09C2">
        <w:rPr>
          <w:w w:val="0"/>
        </w:rPr>
        <w:t xml:space="preserve">[the Scheme / </w:t>
      </w:r>
      <w:r w:rsidRPr="009F4300">
        <w:rPr>
          <w:w w:val="0"/>
        </w:rPr>
        <w:t xml:space="preserve">each </w:t>
      </w:r>
      <w:r w:rsidR="00D30F5C">
        <w:rPr>
          <w:w w:val="0"/>
        </w:rPr>
        <w:t>Sub-Fund</w:t>
      </w:r>
      <w:r w:rsidR="002F09C2">
        <w:rPr>
          <w:w w:val="0"/>
        </w:rPr>
        <w:t>]</w:t>
      </w:r>
      <w:r w:rsidRPr="002B14E8" w:rsidR="002F09C2">
        <w:rPr>
          <w:vertAlign w:val="superscript"/>
        </w:rPr>
        <w:t>2</w:t>
      </w:r>
      <w:r w:rsidRPr="009F4300">
        <w:rPr>
          <w:w w:val="0"/>
        </w:rPr>
        <w:t xml:space="preserve"> reimbursement of expenses related to</w:t>
      </w:r>
      <w:r w:rsidR="00B8327D">
        <w:rPr>
          <w:w w:val="0"/>
        </w:rPr>
        <w:t xml:space="preserve"> </w:t>
      </w:r>
      <w:r w:rsidR="00B8327D">
        <w:t xml:space="preserve">the establishment and authorisation of the Scheme or any Sub-Fund, any registration, any offer of Units, the preparation and printing of any prospectus issued in connection with such offer and the fees for professional services provided to the Scheme in connection with such offer, as well as </w:t>
      </w:r>
      <w:r w:rsidRPr="009F4300" w:rsidR="00B8327D">
        <w:rPr>
          <w:w w:val="0"/>
        </w:rPr>
        <w:t>expenses related to</w:t>
      </w:r>
      <w:r w:rsidRPr="009F4300">
        <w:rPr>
          <w:w w:val="0"/>
        </w:rPr>
        <w:t xml:space="preserve"> the establishment and maintenance of a register as set out in the Prospectus.</w:t>
      </w:r>
      <w:r w:rsidR="00B8327D">
        <w:rPr>
          <w:rStyle w:val="EndnoteReference"/>
        </w:rPr>
        <w:endnoteReference w:id="42"/>
      </w:r>
      <w:r w:rsidRPr="009F4300">
        <w:rPr>
          <w:w w:val="0"/>
        </w:rPr>
        <w:t xml:space="preserve">  </w:t>
      </w:r>
    </w:p>
    <w:p w:rsidRPr="009F4300" w:rsidR="00F238C5" w:rsidP="00F238C5" w:rsidRDefault="00F238C5" w14:paraId="544A19C8" w14:textId="47577615">
      <w:pPr>
        <w:pStyle w:val="ssNoHeading2"/>
        <w:rPr>
          <w:w w:val="0"/>
        </w:rPr>
      </w:pPr>
      <w:bookmarkStart w:name="_DV_M195" w:id="220"/>
      <w:bookmarkStart w:name="_Ref352772526" w:id="221"/>
      <w:bookmarkStart w:name="_Ref20113441" w:id="222"/>
      <w:bookmarkEnd w:id="216"/>
      <w:bookmarkEnd w:id="220"/>
      <w:r w:rsidRPr="009F4300">
        <w:rPr>
          <w:w w:val="0"/>
        </w:rPr>
        <w:lastRenderedPageBreak/>
        <w:t xml:space="preserve">The Depositary shall be entitled to receive out of the Scheme Property </w:t>
      </w:r>
      <w:r w:rsidR="002F09C2">
        <w:rPr>
          <w:w w:val="0"/>
        </w:rPr>
        <w:t>[</w:t>
      </w:r>
      <w:r w:rsidRPr="009F4300">
        <w:rPr>
          <w:w w:val="0"/>
        </w:rPr>
        <w:t xml:space="preserve">of each </w:t>
      </w:r>
      <w:r w:rsidR="00D30F5C">
        <w:rPr>
          <w:w w:val="0"/>
        </w:rPr>
        <w:t>Sub-Fund</w:t>
      </w:r>
      <w:r w:rsidR="002F09C2">
        <w:rPr>
          <w:w w:val="0"/>
        </w:rPr>
        <w:t>]</w:t>
      </w:r>
      <w:r w:rsidRPr="002B14E8" w:rsidR="002F09C2">
        <w:rPr>
          <w:vertAlign w:val="superscript"/>
        </w:rPr>
        <w:t>2</w:t>
      </w:r>
      <w:r w:rsidRPr="009F4300">
        <w:rPr>
          <w:w w:val="0"/>
        </w:rPr>
        <w:t xml:space="preserve"> for its own account by way of remuneration for its services a charge, including periodic, fixed, ad valorem or otherwise, of such amount or rate (before value added tax) as may from time to time be agreed between the </w:t>
      </w:r>
      <w:r w:rsidR="00B21EE2">
        <w:rPr>
          <w:w w:val="0"/>
        </w:rPr>
        <w:t>Manager</w:t>
      </w:r>
      <w:r w:rsidRPr="009F4300">
        <w:rPr>
          <w:w w:val="0"/>
        </w:rPr>
        <w:t xml:space="preserve"> and the Depositary as set out in the Prospectus.</w:t>
      </w:r>
      <w:bookmarkEnd w:id="221"/>
      <w:r w:rsidRPr="009F4300">
        <w:rPr>
          <w:w w:val="0"/>
        </w:rPr>
        <w:t xml:space="preserve">  </w:t>
      </w:r>
      <w:bookmarkEnd w:id="222"/>
    </w:p>
    <w:p w:rsidRPr="009F4300" w:rsidR="00F238C5" w:rsidP="00F238C5" w:rsidRDefault="00F238C5" w14:paraId="39CBF3B6" w14:textId="7550E4AE">
      <w:pPr>
        <w:pStyle w:val="ssNoHeading2"/>
        <w:rPr>
          <w:w w:val="0"/>
        </w:rPr>
      </w:pPr>
      <w:bookmarkStart w:name="_DV_M196" w:id="223"/>
      <w:bookmarkStart w:name="_DV_M200" w:id="224"/>
      <w:bookmarkStart w:name="_Ref350437095" w:id="225"/>
      <w:bookmarkEnd w:id="223"/>
      <w:bookmarkEnd w:id="224"/>
      <w:r w:rsidRPr="009F4300">
        <w:rPr>
          <w:w w:val="0"/>
        </w:rPr>
        <w:t>The Depositary shall also be entitled to receive out of the property of</w:t>
      </w:r>
      <w:r w:rsidR="002F09C2">
        <w:rPr>
          <w:w w:val="0"/>
        </w:rPr>
        <w:t xml:space="preserve"> [the Scheme /</w:t>
      </w:r>
      <w:r w:rsidRPr="009F4300">
        <w:rPr>
          <w:w w:val="0"/>
        </w:rPr>
        <w:t xml:space="preserve"> each </w:t>
      </w:r>
      <w:r w:rsidR="00D30F5C">
        <w:rPr>
          <w:w w:val="0"/>
        </w:rPr>
        <w:t>Sub-Fund</w:t>
      </w:r>
      <w:r w:rsidR="002F09C2">
        <w:rPr>
          <w:w w:val="0"/>
        </w:rPr>
        <w:t>]</w:t>
      </w:r>
      <w:r w:rsidRPr="002B14E8" w:rsidR="002F09C2">
        <w:rPr>
          <w:vertAlign w:val="superscript"/>
        </w:rPr>
        <w:t>2</w:t>
      </w:r>
      <w:r w:rsidRPr="009F4300">
        <w:rPr>
          <w:w w:val="0"/>
        </w:rPr>
        <w:t xml:space="preserve"> by way of reimbursement of expenses or otherwise such payments as are permitted under the COLL Sourcebook subject to such statement in the Prospectus as may be required by the COLL Sourcebook.</w:t>
      </w:r>
      <w:bookmarkEnd w:id="225"/>
      <w:r w:rsidRPr="009F4300">
        <w:rPr>
          <w:w w:val="0"/>
        </w:rPr>
        <w:t xml:space="preserve"> Any reimbursements of expenses and other charges shall accrue due when effected and shall be payable as soon as reasonably practicable afterward.</w:t>
      </w:r>
    </w:p>
    <w:p w:rsidRPr="009F4300" w:rsidR="00F238C5" w:rsidP="00F238C5" w:rsidRDefault="00F238C5" w14:paraId="60514FBA" w14:textId="492CF6EF">
      <w:pPr>
        <w:pStyle w:val="ssNoHeading2"/>
        <w:rPr>
          <w:w w:val="0"/>
        </w:rPr>
      </w:pPr>
      <w:bookmarkStart w:name="_DV_M201" w:id="226"/>
      <w:bookmarkEnd w:id="226"/>
      <w:r w:rsidRPr="009F4300">
        <w:rPr>
          <w:w w:val="0"/>
        </w:rPr>
        <w:t xml:space="preserve">Neither the Depositary nor the </w:t>
      </w:r>
      <w:r w:rsidR="00B21EE2">
        <w:rPr>
          <w:w w:val="0"/>
        </w:rPr>
        <w:t>Manager</w:t>
      </w:r>
      <w:r w:rsidRPr="009F4300">
        <w:rPr>
          <w:w w:val="0"/>
        </w:rPr>
        <w:t xml:space="preserve"> is liable to account to the other or the Unitholders or any of them for the amount of any remuneration (or expenses) properly paid to the Depositary in pursuance of this </w:t>
      </w:r>
      <w:r w:rsidR="00B21EE2">
        <w:rPr>
          <w:w w:val="0"/>
        </w:rPr>
        <w:t>Deed</w:t>
      </w:r>
      <w:r w:rsidRPr="009F4300">
        <w:rPr>
          <w:w w:val="0"/>
        </w:rPr>
        <w:t xml:space="preserve"> and the COLL Sourcebook.  </w:t>
      </w:r>
    </w:p>
    <w:p w:rsidRPr="009F4300" w:rsidR="00F238C5" w:rsidP="00F238C5" w:rsidRDefault="00F238C5" w14:paraId="2A6C7EC5" w14:textId="389140A7">
      <w:pPr>
        <w:pStyle w:val="ssNoHeading2"/>
        <w:rPr>
          <w:w w:val="0"/>
        </w:rPr>
      </w:pPr>
      <w:bookmarkStart w:name="_DV_M202" w:id="227"/>
      <w:bookmarkEnd w:id="227"/>
      <w:r w:rsidRPr="009F4300">
        <w:rPr>
          <w:w w:val="0"/>
        </w:rPr>
        <w:t xml:space="preserve">The amounts of the charges, fees, costs and expenses which the </w:t>
      </w:r>
      <w:r w:rsidR="00B21EE2">
        <w:rPr>
          <w:w w:val="0"/>
        </w:rPr>
        <w:t>Manager</w:t>
      </w:r>
      <w:r w:rsidRPr="009F4300">
        <w:rPr>
          <w:w w:val="0"/>
        </w:rPr>
        <w:t xml:space="preserve"> and the Depositary are entitled to receive pursuant to this </w:t>
      </w:r>
      <w:r w:rsidR="00B21EE2">
        <w:rPr>
          <w:w w:val="0"/>
        </w:rPr>
        <w:t>Deed</w:t>
      </w:r>
      <w:r w:rsidRPr="009F4300">
        <w:rPr>
          <w:w w:val="0"/>
        </w:rPr>
        <w:t xml:space="preserve">, the COLL Sourcebook and the Prospectus are calculated without taking into account any applicable value added tax chargeable in respect of them. In addition to such amounts, the </w:t>
      </w:r>
      <w:r w:rsidR="00B21EE2">
        <w:rPr>
          <w:w w:val="0"/>
        </w:rPr>
        <w:t>Manager</w:t>
      </w:r>
      <w:r w:rsidRPr="009F4300">
        <w:rPr>
          <w:w w:val="0"/>
        </w:rPr>
        <w:t xml:space="preserve"> and the Depositary shall be entitled to receive out of the property of the Scheme a sum equal to the value added tax (if any) chargeable in respect of services in consideration of which the amounts are paid. This sum shall be paid when the amount in respect of which it is payable becomes due or as soon as possible afterwards.</w:t>
      </w:r>
    </w:p>
    <w:p w:rsidRPr="009F4300" w:rsidR="00F238C5" w:rsidP="00F238C5" w:rsidRDefault="00F238C5" w14:paraId="1F480A22" w14:textId="2A55DB25">
      <w:pPr>
        <w:pStyle w:val="ssNoHeading2"/>
        <w:rPr>
          <w:w w:val="0"/>
        </w:rPr>
      </w:pPr>
      <w:bookmarkStart w:name="_DV_M203" w:id="228"/>
      <w:bookmarkEnd w:id="228"/>
      <w:r w:rsidRPr="009F4300">
        <w:rPr>
          <w:w w:val="0"/>
        </w:rPr>
        <w:t xml:space="preserve">All costs and expenses, as set out in the Prospectus, which are incurred in connection with the Scheme and which are authorised, required or permitted by this </w:t>
      </w:r>
      <w:r w:rsidR="00B21EE2">
        <w:rPr>
          <w:w w:val="0"/>
        </w:rPr>
        <w:t>Deed</w:t>
      </w:r>
      <w:r w:rsidRPr="009F4300">
        <w:rPr>
          <w:w w:val="0"/>
        </w:rPr>
        <w:t xml:space="preserve"> or the COLL Sourcebook to be paid out of the property of the Scheme </w:t>
      </w:r>
      <w:r w:rsidR="002F09C2">
        <w:rPr>
          <w:w w:val="0"/>
        </w:rPr>
        <w:t>[</w:t>
      </w:r>
      <w:r w:rsidRPr="009F4300">
        <w:rPr>
          <w:w w:val="0"/>
        </w:rPr>
        <w:t xml:space="preserve">or relevant </w:t>
      </w:r>
      <w:r w:rsidR="00D30F5C">
        <w:rPr>
          <w:w w:val="0"/>
        </w:rPr>
        <w:t>Sub-Fund</w:t>
      </w:r>
      <w:r w:rsidR="002F09C2">
        <w:rPr>
          <w:w w:val="0"/>
        </w:rPr>
        <w:t>]</w:t>
      </w:r>
      <w:r w:rsidRPr="002B14E8" w:rsidR="002F09C2">
        <w:rPr>
          <w:vertAlign w:val="superscript"/>
        </w:rPr>
        <w:t>2</w:t>
      </w:r>
      <w:r w:rsidRPr="009F4300">
        <w:rPr>
          <w:w w:val="0"/>
        </w:rPr>
        <w:t xml:space="preserve"> shall be so paid.</w:t>
      </w:r>
    </w:p>
    <w:p w:rsidRPr="009F4300" w:rsidR="00F238C5" w:rsidP="00F238C5" w:rsidRDefault="0073048A" w14:paraId="501C76ED" w14:textId="25EEB102">
      <w:pPr>
        <w:pStyle w:val="Heading1"/>
      </w:pPr>
      <w:bookmarkStart w:name="_DV_M204" w:id="229"/>
      <w:bookmarkStart w:name="_Toc179391856" w:id="230"/>
      <w:bookmarkEnd w:id="229"/>
      <w:r w:rsidRPr="009F4300">
        <w:t>S</w:t>
      </w:r>
      <w:bookmarkStart w:name="_Ref352852106" w:id="231"/>
      <w:r w:rsidRPr="009F4300">
        <w:t xml:space="preserve">cheme </w:t>
      </w:r>
      <w:bookmarkEnd w:id="231"/>
      <w:r w:rsidR="004A008A">
        <w:t>Property</w:t>
      </w:r>
      <w:bookmarkEnd w:id="230"/>
      <w:r w:rsidRPr="009F4300">
        <w:t xml:space="preserve"> </w:t>
      </w:r>
      <w:bookmarkStart w:name="_NN974" w:id="232"/>
      <w:bookmarkEnd w:id="232"/>
    </w:p>
    <w:p w:rsidRPr="009F4300" w:rsidR="00F238C5" w:rsidP="00F238C5" w:rsidRDefault="002F09C2" w14:paraId="6F0B4C6B" w14:textId="5648BD8E">
      <w:pPr>
        <w:pStyle w:val="ssNoHeading2"/>
      </w:pPr>
      <w:r>
        <w:t>[</w:t>
      </w:r>
      <w:r w:rsidRPr="009F4300" w:rsidR="00F238C5">
        <w:t xml:space="preserve">Neither the Scheme nor its </w:t>
      </w:r>
      <w:r w:rsidR="00D30F5C">
        <w:t>Sub-Fund</w:t>
      </w:r>
      <w:r w:rsidRPr="009F4300" w:rsidR="00F238C5">
        <w:t>s have legal personality of their own.</w:t>
      </w:r>
      <w:r>
        <w:t>]</w:t>
      </w:r>
      <w:r w:rsidRPr="002B14E8">
        <w:rPr>
          <w:vertAlign w:val="superscript"/>
        </w:rPr>
        <w:t>2</w:t>
      </w:r>
    </w:p>
    <w:p w:rsidRPr="009F4300" w:rsidR="00F238C5" w:rsidP="00F238C5" w:rsidRDefault="00F238C5" w14:paraId="1F7F9B69" w14:textId="699B27FD">
      <w:pPr>
        <w:pStyle w:val="ssNoHeading2"/>
      </w:pPr>
      <w:r w:rsidRPr="009F4300">
        <w:t xml:space="preserve">The </w:t>
      </w:r>
      <w:r w:rsidR="004E3CEF">
        <w:t>Scheme Property</w:t>
      </w:r>
      <w:r w:rsidRPr="009F4300">
        <w:t xml:space="preserve"> (but not sums standing to the credit of its distribution account)</w:t>
      </w:r>
      <w:r w:rsidR="004E3CEF">
        <w:t xml:space="preserve"> </w:t>
      </w:r>
      <w:r w:rsidR="002F09C2">
        <w:t>[</w:t>
      </w:r>
      <w:r w:rsidR="004E3CEF">
        <w:t>of each Sub-Fund</w:t>
      </w:r>
      <w:r w:rsidR="002F09C2">
        <w:t>]</w:t>
      </w:r>
      <w:r w:rsidRPr="002B14E8" w:rsidR="002F09C2">
        <w:rPr>
          <w:vertAlign w:val="superscript"/>
        </w:rPr>
        <w:t>2</w:t>
      </w:r>
      <w:r w:rsidRPr="009F4300">
        <w:t xml:space="preserve"> shall be held by, or to the order of, the Depositary for and on behalf of its Unitholders from time to time according to the number and class of Units held by each Unitholder therein.</w:t>
      </w:r>
    </w:p>
    <w:p w:rsidRPr="009F4300" w:rsidR="00F238C5" w:rsidP="00F238C5" w:rsidRDefault="00F238C5" w14:paraId="7D79CC67" w14:textId="02A2489F">
      <w:pPr>
        <w:pStyle w:val="ssNoHeading2"/>
      </w:pPr>
      <w:r w:rsidRPr="009F4300">
        <w:t xml:space="preserve">The assets of </w:t>
      </w:r>
      <w:r w:rsidR="002F09C2">
        <w:t xml:space="preserve">[the Scheme / </w:t>
      </w:r>
      <w:r w:rsidRPr="009F4300">
        <w:t xml:space="preserve">each </w:t>
      </w:r>
      <w:r w:rsidR="00D30F5C">
        <w:t>Sub-Fund</w:t>
      </w:r>
      <w:r w:rsidR="002F09C2">
        <w:t>]</w:t>
      </w:r>
      <w:r w:rsidRPr="002B14E8" w:rsidR="002F09C2">
        <w:rPr>
          <w:vertAlign w:val="superscript"/>
        </w:rPr>
        <w:t>2</w:t>
      </w:r>
      <w:r w:rsidRPr="009F4300">
        <w:t xml:space="preserve"> (but not sums standing to the credit of its distribution account) are beneficially owned by the Unitholders as tenants in common.</w:t>
      </w:r>
    </w:p>
    <w:p w:rsidR="004E3CEF" w:rsidP="009C4DB1" w:rsidRDefault="004E3CEF" w14:paraId="4E064CDF" w14:textId="2D288F67">
      <w:pPr>
        <w:pStyle w:val="ssNoHeading2"/>
      </w:pPr>
      <w:bookmarkStart w:name="_DV_M208" w:id="233"/>
      <w:bookmarkEnd w:id="233"/>
      <w:r>
        <w:t xml:space="preserve">Any sums standing to the credit of each distribution account are held by the Depositary to distribute or apply them in accordance with </w:t>
      </w:r>
      <w:r w:rsidR="005A54C9">
        <w:t>the FCA Rules</w:t>
      </w:r>
      <w:r>
        <w:t xml:space="preserve"> and, where applicable, any relevant provisions of the AIFMD Regulations and the Prospectus.</w:t>
      </w:r>
    </w:p>
    <w:p w:rsidRPr="009F4300" w:rsidR="00F238C5" w:rsidP="00F238C5" w:rsidRDefault="004E3CEF" w14:paraId="5263B6BF" w14:textId="3E4C4965">
      <w:pPr>
        <w:pStyle w:val="Heading1"/>
      </w:pPr>
      <w:bookmarkStart w:name="_Toc179391857" w:id="234"/>
      <w:r>
        <w:rPr>
          <w:w w:val="0"/>
        </w:rPr>
        <w:t xml:space="preserve">Proceedings and </w:t>
      </w:r>
      <w:r w:rsidRPr="009F4300" w:rsidR="0073048A">
        <w:rPr>
          <w:w w:val="0"/>
        </w:rPr>
        <w:t>Voting at Meetings</w:t>
      </w:r>
      <w:bookmarkStart w:name="_NN975" w:id="235"/>
      <w:bookmarkEnd w:id="235"/>
      <w:r w:rsidRPr="00BB18D0" w:rsidR="003E5622">
        <w:rPr>
          <w:rStyle w:val="EndnoteReference"/>
          <w:b w:val="0"/>
          <w:bCs w:val="0"/>
          <w:u w:val="none"/>
        </w:rPr>
        <w:endnoteReference w:id="43"/>
      </w:r>
      <w:bookmarkEnd w:id="234"/>
    </w:p>
    <w:p w:rsidR="00695E22" w:rsidP="00F238C5" w:rsidRDefault="00695E22" w14:paraId="44485D9E" w14:textId="493E9CA5">
      <w:pPr>
        <w:pStyle w:val="ssNoHeading2"/>
        <w:rPr>
          <w:w w:val="0"/>
        </w:rPr>
      </w:pPr>
      <w:bookmarkStart w:name="_DV_M209" w:id="236"/>
      <w:bookmarkEnd w:id="236"/>
      <w:r>
        <w:t>All general meetings shall be called Extraordinary General Meetings.</w:t>
      </w:r>
      <w:r>
        <w:rPr>
          <w:rStyle w:val="EndnoteReference"/>
        </w:rPr>
        <w:endnoteReference w:id="44"/>
      </w:r>
      <w:r>
        <w:t xml:space="preserve"> The Scheme will not hold annual general meetings.</w:t>
      </w:r>
    </w:p>
    <w:p w:rsidRPr="009F4300" w:rsidR="00F238C5" w:rsidP="00F238C5" w:rsidRDefault="00F238C5" w14:paraId="566691C1" w14:textId="41E2063F">
      <w:pPr>
        <w:pStyle w:val="ssNoHeading2"/>
        <w:rPr>
          <w:w w:val="0"/>
        </w:rPr>
      </w:pPr>
      <w:r w:rsidRPr="009F4300">
        <w:rPr>
          <w:w w:val="0"/>
        </w:rPr>
        <w:t xml:space="preserve">The entitlement to vote attaching to each Unit at any </w:t>
      </w:r>
      <w:r w:rsidR="00695E22">
        <w:t>Extraordinary General Meetings</w:t>
      </w:r>
      <w:r w:rsidRPr="009F4300" w:rsidR="00695E22">
        <w:rPr>
          <w:w w:val="0"/>
        </w:rPr>
        <w:t xml:space="preserve"> </w:t>
      </w:r>
      <w:r w:rsidRPr="009F4300">
        <w:rPr>
          <w:w w:val="0"/>
        </w:rPr>
        <w:t xml:space="preserve">of Unitholders or Class </w:t>
      </w:r>
      <w:r w:rsidR="005A54C9">
        <w:rPr>
          <w:w w:val="0"/>
        </w:rPr>
        <w:t>M</w:t>
      </w:r>
      <w:r w:rsidRPr="009F4300">
        <w:rPr>
          <w:w w:val="0"/>
        </w:rPr>
        <w:t xml:space="preserve">eeting shall be in accordance with the </w:t>
      </w:r>
      <w:r w:rsidR="004E3CEF">
        <w:rPr>
          <w:w w:val="0"/>
        </w:rPr>
        <w:t xml:space="preserve">FCA Rules and details of the </w:t>
      </w:r>
      <w:r w:rsidR="004E3CEF">
        <w:rPr>
          <w:w w:val="0"/>
        </w:rPr>
        <w:lastRenderedPageBreak/>
        <w:t>proceedings at,</w:t>
      </w:r>
      <w:r w:rsidRPr="009F4300">
        <w:rPr>
          <w:w w:val="0"/>
        </w:rPr>
        <w:t xml:space="preserve"> and the manner in which votes maybe given at such meetings is set out in </w:t>
      </w:r>
      <w:r w:rsidRPr="009F4300" w:rsidR="000B5792">
        <w:rPr>
          <w:w w:val="0"/>
        </w:rPr>
        <w:fldChar w:fldCharType="begin"/>
      </w:r>
      <w:r w:rsidRPr="009F4300" w:rsidR="000B5792">
        <w:rPr>
          <w:w w:val="0"/>
        </w:rPr>
        <w:instrText xml:space="preserve"> REF _Ref117249567 \n \h </w:instrText>
      </w:r>
      <w:r w:rsidRPr="009F4300" w:rsidR="000B5792">
        <w:rPr>
          <w:w w:val="0"/>
        </w:rPr>
      </w:r>
      <w:r w:rsidRPr="009F4300" w:rsidR="000B5792">
        <w:rPr>
          <w:w w:val="0"/>
        </w:rPr>
        <w:fldChar w:fldCharType="separate"/>
      </w:r>
      <w:r w:rsidR="00663122">
        <w:rPr>
          <w:w w:val="0"/>
          <w:cs/>
        </w:rPr>
        <w:t>‎</w:t>
      </w:r>
      <w:r w:rsidR="00663122">
        <w:rPr>
          <w:w w:val="0"/>
        </w:rPr>
        <w:t>Part 3</w:t>
      </w:r>
      <w:r w:rsidRPr="009F4300" w:rsidR="000B5792">
        <w:rPr>
          <w:w w:val="0"/>
        </w:rPr>
        <w:fldChar w:fldCharType="end"/>
      </w:r>
      <w:r w:rsidRPr="009F4300">
        <w:rPr>
          <w:w w:val="0"/>
        </w:rPr>
        <w:t xml:space="preserve"> of the Schedule.</w:t>
      </w:r>
    </w:p>
    <w:p w:rsidRPr="009F4300" w:rsidR="00F238C5" w:rsidP="00F238C5" w:rsidRDefault="002F09C2" w14:paraId="37F2872F" w14:textId="30416452">
      <w:pPr>
        <w:pStyle w:val="ssNoHeading2"/>
      </w:pPr>
      <w:r>
        <w:rPr>
          <w:w w:val="0"/>
        </w:rPr>
        <w:t>[</w:t>
      </w:r>
      <w:r w:rsidRPr="009F4300" w:rsidR="00F238C5">
        <w:rPr>
          <w:w w:val="0"/>
        </w:rPr>
        <w:t xml:space="preserve">The same provisions also apply, with any necessary changes, to meetings of a </w:t>
      </w:r>
      <w:r w:rsidR="00D30F5C">
        <w:rPr>
          <w:w w:val="0"/>
        </w:rPr>
        <w:t>Sub-Fund</w:t>
      </w:r>
      <w:r w:rsidRPr="009F4300" w:rsidR="00F238C5">
        <w:rPr>
          <w:w w:val="0"/>
        </w:rPr>
        <w:t>.</w:t>
      </w:r>
      <w:bookmarkStart w:name="_Ref26942264" w:id="237"/>
      <w:r>
        <w:rPr>
          <w:w w:val="0"/>
        </w:rPr>
        <w:t>]</w:t>
      </w:r>
      <w:r w:rsidRPr="002B14E8">
        <w:rPr>
          <w:vertAlign w:val="superscript"/>
        </w:rPr>
        <w:t>2</w:t>
      </w:r>
    </w:p>
    <w:p w:rsidR="008B3C56" w:rsidP="008B3C56" w:rsidRDefault="008B3C56" w14:paraId="3CCD2876" w14:textId="77777777">
      <w:pPr>
        <w:pStyle w:val="Heading1"/>
      </w:pPr>
      <w:bookmarkStart w:name="_Toc483836832" w:id="238"/>
      <w:bookmarkStart w:name="_Toc514119884" w:id="239"/>
      <w:bookmarkStart w:name="_Toc523829767" w:id="240"/>
      <w:bookmarkStart w:name="_Toc80522085" w:id="241"/>
      <w:bookmarkStart w:name="_Toc179390742" w:id="242"/>
      <w:bookmarkStart w:name="_Toc179391858" w:id="243"/>
      <w:r>
        <w:t>Destruction of Documents</w:t>
      </w:r>
      <w:bookmarkEnd w:id="238"/>
      <w:bookmarkEnd w:id="239"/>
      <w:bookmarkEnd w:id="240"/>
      <w:bookmarkEnd w:id="241"/>
      <w:bookmarkEnd w:id="242"/>
      <w:bookmarkEnd w:id="243"/>
    </w:p>
    <w:p w:rsidR="008B3C56" w:rsidP="008B3C56" w:rsidRDefault="008B3C56" w14:paraId="2595FA62" w14:textId="665399C7">
      <w:pPr>
        <w:pStyle w:val="ssNoHeading2"/>
      </w:pPr>
      <w:r>
        <w:t xml:space="preserve">Subject to maintaining records in accordance with the </w:t>
      </w:r>
      <w:r w:rsidRPr="00663122">
        <w:t>Regulations</w:t>
      </w:r>
      <w:r>
        <w:t xml:space="preserve"> and to any other applicable law, rule or regulation, the Manager or Depositary may at any time destroy any records or other documentation relating to the Scheme including, without limitation, any payment mandate (including any variation or cancellation of it) which ceases to have effect, any notification of change of name or address which has been recorded, any instrument of transfer of </w:t>
      </w:r>
      <w:r w:rsidR="00663122">
        <w:t>Units</w:t>
      </w:r>
      <w:r>
        <w:t xml:space="preserve"> which has been registered and any other document on the basis of which any entry in the Register has been is made or cancelled.</w:t>
      </w:r>
    </w:p>
    <w:p w:rsidR="008B3C56" w:rsidP="008B3C56" w:rsidRDefault="008B3C56" w14:paraId="05B33EF9" w14:textId="763B4C04">
      <w:pPr>
        <w:pStyle w:val="ssNoHeading2"/>
      </w:pPr>
      <w:r>
        <w:t xml:space="preserve">It shall conclusively be presumed in favour of the </w:t>
      </w:r>
      <w:r w:rsidR="00663122">
        <w:t xml:space="preserve">Manager </w:t>
      </w:r>
      <w:r>
        <w:t xml:space="preserve">that every instrument of transfer so destroyed was a valid and effective document in accordance with the recorded particulars of it in the books or records of the </w:t>
      </w:r>
      <w:r w:rsidR="00663122">
        <w:t>Manager</w:t>
      </w:r>
      <w:r>
        <w:t xml:space="preserve">, provided always that the document was destroyed in good faith and without express notice to the </w:t>
      </w:r>
      <w:r w:rsidR="00663122">
        <w:t xml:space="preserve">Manager </w:t>
      </w:r>
      <w:r>
        <w:t>that the preservation of the document was relevant to a claim.</w:t>
      </w:r>
    </w:p>
    <w:p w:rsidRPr="008B3C56" w:rsidR="008B3C56" w:rsidP="008B3C56" w:rsidRDefault="008B3C56" w14:paraId="01B2A0BD" w14:textId="45309673">
      <w:pPr>
        <w:pStyle w:val="ssNoHeading2"/>
      </w:pPr>
      <w:r>
        <w:t xml:space="preserve">Nothing contained in this Clause shall be construed as imposing upon the </w:t>
      </w:r>
      <w:r w:rsidR="00663122">
        <w:t xml:space="preserve">Manager </w:t>
      </w:r>
      <w:r>
        <w:t>any liability in respect of the destruction of any document in any case where the conditions of this Clause are not fulfilled. References in this Clause to the destruction of any document include references to its disposal in any manner.</w:t>
      </w:r>
    </w:p>
    <w:p w:rsidRPr="009F4300" w:rsidR="00F238C5" w:rsidP="00F238C5" w:rsidRDefault="0073048A" w14:paraId="6E38E964" w14:textId="228FCCDB">
      <w:pPr>
        <w:pStyle w:val="Heading1"/>
      </w:pPr>
      <w:bookmarkStart w:name="_Toc179391859" w:id="244"/>
      <w:r w:rsidRPr="009F4300">
        <w:rPr>
          <w:w w:val="0"/>
        </w:rPr>
        <w:t>Taxation of Unitholders</w:t>
      </w:r>
      <w:bookmarkStart w:name="_NN976" w:id="245"/>
      <w:bookmarkEnd w:id="245"/>
      <w:bookmarkEnd w:id="244"/>
    </w:p>
    <w:p w:rsidRPr="009F4300" w:rsidR="00F238C5" w:rsidP="00F238C5" w:rsidRDefault="00F238C5" w14:paraId="185EA0EF" w14:textId="43CAD3B3">
      <w:pPr>
        <w:pStyle w:val="ssNoHeading2"/>
      </w:pPr>
      <w:bookmarkStart w:name="_Ref370985410" w:id="246"/>
      <w:r w:rsidRPr="009F4300">
        <w:t xml:space="preserve">[Unitholders (which for the purpose of this </w:t>
      </w:r>
      <w:r w:rsidR="00314A95">
        <w:t>C</w:t>
      </w:r>
      <w:r w:rsidRPr="009F4300">
        <w:t>lause shall be regarded as including a reference to the beneficial owner for whom the Units are held) may be liable for income tax on their share of income arising within</w:t>
      </w:r>
      <w:r w:rsidR="002F09C2">
        <w:t xml:space="preserve"> [the Scheme / </w:t>
      </w:r>
      <w:r w:rsidRPr="009F4300">
        <w:t xml:space="preserve">a </w:t>
      </w:r>
      <w:r w:rsidR="00D30F5C">
        <w:t>Sub-Fund</w:t>
      </w:r>
      <w:r w:rsidR="002F09C2">
        <w:t>]</w:t>
      </w:r>
      <w:r w:rsidRPr="002B14E8" w:rsidR="002F09C2">
        <w:rPr>
          <w:vertAlign w:val="superscript"/>
        </w:rPr>
        <w:t>2</w:t>
      </w:r>
      <w:r w:rsidRPr="009F4300">
        <w:t>, even where they are invested in accumulation Units, and also any withholding tax or other applicable tax or charge imposed.]</w:t>
      </w:r>
      <w:bookmarkEnd w:id="246"/>
      <w:r w:rsidR="00BA397A">
        <w:rPr>
          <w:rStyle w:val="EndnoteReference"/>
        </w:rPr>
        <w:endnoteReference w:id="45"/>
      </w:r>
    </w:p>
    <w:p w:rsidRPr="009F4300" w:rsidR="00F238C5" w:rsidP="00F238C5" w:rsidRDefault="00F238C5" w14:paraId="0150B131" w14:textId="786C639E">
      <w:pPr>
        <w:pStyle w:val="ssNoHeading2"/>
      </w:pPr>
      <w:bookmarkStart w:name="_Ref371268462" w:id="247"/>
      <w:r w:rsidRPr="009F4300">
        <w:t xml:space="preserve">To the extent the Depositary, the Custodian, the </w:t>
      </w:r>
      <w:r w:rsidR="00B21EE2">
        <w:t>Manager</w:t>
      </w:r>
      <w:r w:rsidRPr="009F4300">
        <w:t xml:space="preserve">, the Investment Adviser, any other provider of services to or in relation to the Scheme, </w:t>
      </w:r>
      <w:r w:rsidR="002F09C2">
        <w:t>[</w:t>
      </w:r>
      <w:r w:rsidRPr="009F4300">
        <w:t xml:space="preserve">any </w:t>
      </w:r>
      <w:r w:rsidR="00D30F5C">
        <w:t>Sub-Fund</w:t>
      </w:r>
      <w:r w:rsidRPr="009F4300">
        <w:t>,</w:t>
      </w:r>
      <w:r w:rsidR="002F09C2">
        <w:t>]</w:t>
      </w:r>
      <w:r w:rsidRPr="002B14E8" w:rsidR="002F09C2">
        <w:rPr>
          <w:vertAlign w:val="superscript"/>
        </w:rPr>
        <w:t>2</w:t>
      </w:r>
      <w:r w:rsidRPr="009F4300">
        <w:t xml:space="preserve"> any underlying investment or any of their respective delegates or agents is liable to pay any Taxation because of the ownership, directly or indirectly, by any Unitholder and such Taxation is not paid by the relevant Unitholder on its own account, </w:t>
      </w:r>
      <w:r w:rsidR="004E3CEF">
        <w:t>it</w:t>
      </w:r>
      <w:r w:rsidRPr="009F4300">
        <w:t xml:space="preserve"> shall pay the amount of the Taxation to the</w:t>
      </w:r>
      <w:r w:rsidR="002F09C2">
        <w:t xml:space="preserve"> [Scheme /</w:t>
      </w:r>
      <w:r w:rsidRPr="009F4300">
        <w:t xml:space="preserve"> relevant </w:t>
      </w:r>
      <w:r w:rsidR="00D30F5C">
        <w:t>Sub-Fund</w:t>
      </w:r>
      <w:r w:rsidR="002F09C2">
        <w:t>]</w:t>
      </w:r>
      <w:r w:rsidRPr="002B14E8" w:rsidR="002F09C2">
        <w:rPr>
          <w:vertAlign w:val="superscript"/>
        </w:rPr>
        <w:t>2</w:t>
      </w:r>
      <w:r w:rsidRPr="009F4300">
        <w:t xml:space="preserve"> or as the </w:t>
      </w:r>
      <w:r w:rsidR="00B21EE2">
        <w:t>Manager</w:t>
      </w:r>
      <w:r w:rsidRPr="009F4300">
        <w:t xml:space="preserve"> may direct before the time it becomes payable by the affected person. To the extent the amount of the Taxation is not so paid, the Unitholder shall indemnify the </w:t>
      </w:r>
      <w:r w:rsidR="00B21EE2">
        <w:t>Manager</w:t>
      </w:r>
      <w:r w:rsidRPr="009F4300">
        <w:t xml:space="preserve">, the Unitholders or former Unitholders in the relevant </w:t>
      </w:r>
      <w:r w:rsidR="002F09C2">
        <w:t>[</w:t>
      </w:r>
      <w:r w:rsidR="00D30F5C">
        <w:t>Sub-Fund</w:t>
      </w:r>
      <w:r w:rsidRPr="009F4300">
        <w:t xml:space="preserve"> or </w:t>
      </w:r>
      <w:r w:rsidR="002F09C2">
        <w:t>]</w:t>
      </w:r>
      <w:r w:rsidRPr="002B14E8" w:rsidR="002F09C2">
        <w:rPr>
          <w:vertAlign w:val="superscript"/>
        </w:rPr>
        <w:t>2</w:t>
      </w:r>
      <w:r w:rsidR="002F09C2">
        <w:rPr>
          <w:vertAlign w:val="superscript"/>
        </w:rPr>
        <w:t xml:space="preserve"> </w:t>
      </w:r>
      <w:r w:rsidRPr="009F4300">
        <w:t xml:space="preserve">Class, as appropriate, and any of the other persons mentioned affected by such Taxation in relation to all such amounts of Taxation. The </w:t>
      </w:r>
      <w:r w:rsidR="00B21EE2">
        <w:t>Manager</w:t>
      </w:r>
      <w:r w:rsidRPr="009F4300">
        <w:t xml:space="preserve"> in relation to the relevant </w:t>
      </w:r>
      <w:r w:rsidR="002F09C2">
        <w:t>[</w:t>
      </w:r>
      <w:r w:rsidR="00D30F5C">
        <w:t>Sub-Fund</w:t>
      </w:r>
      <w:r w:rsidRPr="009F4300">
        <w:t>, or</w:t>
      </w:r>
      <w:r w:rsidR="002F09C2">
        <w:t>]</w:t>
      </w:r>
      <w:r w:rsidRPr="002B14E8" w:rsidR="002F09C2">
        <w:rPr>
          <w:vertAlign w:val="superscript"/>
        </w:rPr>
        <w:t>2</w:t>
      </w:r>
      <w:r w:rsidRPr="009F4300">
        <w:t xml:space="preserve"> Class</w:t>
      </w:r>
      <w:r w:rsidR="002F09C2">
        <w:t>[</w:t>
      </w:r>
      <w:r w:rsidRPr="009F4300">
        <w:t>, as appropriate,</w:t>
      </w:r>
      <w:r w:rsidR="002F09C2">
        <w:t>]</w:t>
      </w:r>
      <w:r w:rsidRPr="002B14E8" w:rsidR="002F09C2">
        <w:rPr>
          <w:vertAlign w:val="superscript"/>
        </w:rPr>
        <w:t>2</w:t>
      </w:r>
      <w:r w:rsidRPr="009F4300">
        <w:t xml:space="preserve"> in which the Unitholder holds Units shall have the right to deduct and set off the amount of such Taxation from any income distributed to or accumulated on any Units owned by that Unitholder. Further, any amounts equal to such Taxation and not paid as described may be deducted from any proceeds payable where a redemption request is met. The </w:t>
      </w:r>
      <w:r w:rsidR="00B21EE2">
        <w:t>Manager</w:t>
      </w:r>
      <w:r w:rsidRPr="009F4300">
        <w:t xml:space="preserve"> may also, pursuant to </w:t>
      </w:r>
      <w:r w:rsidR="00314A95">
        <w:rPr>
          <w:bCs w:val="0"/>
        </w:rPr>
        <w:t>C</w:t>
      </w:r>
      <w:r w:rsidRPr="009F4300">
        <w:rPr>
          <w:bCs w:val="0"/>
        </w:rPr>
        <w:t xml:space="preserve">lause </w:t>
      </w:r>
      <w:r w:rsidRPr="009F4300">
        <w:rPr>
          <w:bCs w:val="0"/>
        </w:rPr>
        <w:fldChar w:fldCharType="begin"/>
      </w:r>
      <w:r w:rsidRPr="009F4300">
        <w:rPr>
          <w:bCs w:val="0"/>
        </w:rPr>
        <w:instrText xml:space="preserve"> REF _Ref370900524 \r \h  \* MERGEFORMAT </w:instrText>
      </w:r>
      <w:r w:rsidRPr="009F4300">
        <w:rPr>
          <w:bCs w:val="0"/>
        </w:rPr>
      </w:r>
      <w:r w:rsidRPr="009F4300">
        <w:rPr>
          <w:bCs w:val="0"/>
        </w:rPr>
        <w:fldChar w:fldCharType="separate"/>
      </w:r>
      <w:r w:rsidR="00663122">
        <w:rPr>
          <w:bCs w:val="0"/>
          <w:cs/>
        </w:rPr>
        <w:t>‎</w:t>
      </w:r>
      <w:r w:rsidR="00663122">
        <w:rPr>
          <w:bCs w:val="0"/>
        </w:rPr>
        <w:t>12.6</w:t>
      </w:r>
      <w:r w:rsidRPr="009F4300">
        <w:rPr>
          <w:bCs w:val="0"/>
        </w:rPr>
        <w:fldChar w:fldCharType="end"/>
      </w:r>
      <w:r w:rsidRPr="009F4300">
        <w:t xml:space="preserve"> compulsorily redeem any Units of the Unitholder concerned and use the proceeds of such redemption to pay any relevant Taxation.</w:t>
      </w:r>
      <w:bookmarkEnd w:id="247"/>
      <w:r w:rsidR="00BA397A">
        <w:rPr>
          <w:rStyle w:val="EndnoteReference"/>
        </w:rPr>
        <w:endnoteReference w:id="46"/>
      </w:r>
    </w:p>
    <w:p w:rsidRPr="009F4300" w:rsidR="00F238C5" w:rsidP="00F238C5" w:rsidRDefault="0073048A" w14:paraId="0FAA5967" w14:textId="3A549013">
      <w:pPr>
        <w:pStyle w:val="Heading1"/>
        <w:rPr>
          <w:b w:val="0"/>
          <w:bCs w:val="0"/>
          <w:u w:val="none"/>
        </w:rPr>
      </w:pPr>
      <w:bookmarkStart w:name="_Toc179391860" w:id="248"/>
      <w:r w:rsidRPr="009F4300">
        <w:lastRenderedPageBreak/>
        <w:t>Tax Information</w:t>
      </w:r>
      <w:bookmarkStart w:name="_NN977" w:id="249"/>
      <w:bookmarkEnd w:id="249"/>
      <w:r w:rsidRPr="00BA397A" w:rsidR="00BA397A">
        <w:rPr>
          <w:rStyle w:val="EndnoteReference"/>
          <w:b w:val="0"/>
          <w:bCs w:val="0"/>
          <w:u w:val="none"/>
        </w:rPr>
        <w:endnoteReference w:id="47"/>
      </w:r>
      <w:bookmarkEnd w:id="248"/>
    </w:p>
    <w:p w:rsidRPr="009F4300" w:rsidR="00F238C5" w:rsidP="00F238C5" w:rsidRDefault="00F238C5" w14:paraId="15348B87" w14:textId="558D74B0">
      <w:pPr>
        <w:pStyle w:val="Heading2"/>
      </w:pPr>
      <w:r w:rsidRPr="009F4300">
        <w:t xml:space="preserve">United Kingdom </w:t>
      </w:r>
      <w:r w:rsidRPr="009F4300" w:rsidR="002E0F9A">
        <w:t>Tax Records</w:t>
      </w:r>
    </w:p>
    <w:p w:rsidRPr="009F4300" w:rsidR="00F238C5" w:rsidP="00F238C5" w:rsidRDefault="00F238C5" w14:paraId="1BD9877C" w14:textId="4EE0E5E1">
      <w:pPr>
        <w:pStyle w:val="ssPara2"/>
        <w:rPr>
          <w:strike/>
        </w:rPr>
      </w:pPr>
      <w:r w:rsidRPr="009F4300">
        <w:t xml:space="preserve">[The </w:t>
      </w:r>
      <w:r w:rsidR="00B21EE2">
        <w:t>Manager</w:t>
      </w:r>
      <w:r w:rsidRPr="009F4300">
        <w:t xml:space="preserve"> will produce tax records for Unitholders in the Scheme to enable those liable to United Kingdom Taxation to comply with their fiscal obligations. For the avoidance of doubt, this information does not extend to chargeable gains (and allowable losses) realised by </w:t>
      </w:r>
      <w:r w:rsidR="00D30F5C">
        <w:t>Sub-Fund</w:t>
      </w:r>
      <w:r w:rsidRPr="009F4300">
        <w:t>s.]</w:t>
      </w:r>
      <w:r w:rsidRPr="009F4300">
        <w:rPr>
          <w:strike/>
        </w:rPr>
        <w:t xml:space="preserve"> </w:t>
      </w:r>
    </w:p>
    <w:p w:rsidRPr="009F4300" w:rsidR="00F238C5" w:rsidP="00F238C5" w:rsidRDefault="00F238C5" w14:paraId="032F5C2E" w14:textId="74F2C62A">
      <w:pPr>
        <w:pStyle w:val="Heading2"/>
      </w:pPr>
      <w:r w:rsidRPr="009F4300">
        <w:t xml:space="preserve">Tax </w:t>
      </w:r>
      <w:r w:rsidRPr="009F4300" w:rsidR="002E0F9A">
        <w:t>Allocations</w:t>
      </w:r>
    </w:p>
    <w:p w:rsidRPr="009F4300" w:rsidR="00F238C5" w:rsidP="00F238C5" w:rsidRDefault="00F238C5" w14:paraId="4AF00E6A" w14:textId="038AE2DB">
      <w:pPr>
        <w:pStyle w:val="ssPara2"/>
      </w:pPr>
      <w:r w:rsidRPr="009F4300">
        <w:t xml:space="preserve">As of the end of each United Kingdom financial year or other period, the </w:t>
      </w:r>
      <w:r w:rsidR="00B21EE2">
        <w:t>Manager</w:t>
      </w:r>
      <w:r w:rsidRPr="009F4300">
        <w:t xml:space="preserve"> shall produce records for the Unitholders </w:t>
      </w:r>
      <w:r w:rsidR="002F09C2">
        <w:t>[</w:t>
      </w:r>
      <w:r w:rsidRPr="009F4300">
        <w:t xml:space="preserve">in each </w:t>
      </w:r>
      <w:r w:rsidR="00D30F5C">
        <w:t>Sub-Fund</w:t>
      </w:r>
      <w:r w:rsidR="002F09C2">
        <w:t>]</w:t>
      </w:r>
      <w:r w:rsidRPr="002B14E8" w:rsidR="002F09C2">
        <w:rPr>
          <w:vertAlign w:val="superscript"/>
        </w:rPr>
        <w:t>2</w:t>
      </w:r>
      <w:r w:rsidRPr="009F4300">
        <w:t xml:space="preserve"> allocating the </w:t>
      </w:r>
      <w:r w:rsidR="002F09C2">
        <w:t xml:space="preserve">[Scheme’s / </w:t>
      </w:r>
      <w:r w:rsidRPr="009F4300">
        <w:t xml:space="preserve">relevant </w:t>
      </w:r>
      <w:r w:rsidR="00D30F5C">
        <w:t>Sub-Fund</w:t>
      </w:r>
      <w:r w:rsidRPr="009F4300">
        <w:t>’s</w:t>
      </w:r>
      <w:r w:rsidR="002F09C2">
        <w:t>]</w:t>
      </w:r>
      <w:r w:rsidRPr="002B14E8" w:rsidR="002F09C2">
        <w:rPr>
          <w:vertAlign w:val="superscript"/>
        </w:rPr>
        <w:t>2</w:t>
      </w:r>
      <w:r w:rsidRPr="009F4300">
        <w:t xml:space="preserve"> items of income, loss, deduction and expense for United Kingdom tax purposes in accordance with the Unit holdings in the</w:t>
      </w:r>
      <w:r w:rsidR="002F09C2">
        <w:t xml:space="preserve"> [Scheme /</w:t>
      </w:r>
      <w:r w:rsidRPr="009F4300">
        <w:t xml:space="preserve"> </w:t>
      </w:r>
      <w:r w:rsidR="00D30F5C">
        <w:t>Sub-Fund</w:t>
      </w:r>
      <w:r w:rsidR="002F09C2">
        <w:t>]</w:t>
      </w:r>
      <w:r w:rsidRPr="002B14E8" w:rsidR="002F09C2">
        <w:rPr>
          <w:vertAlign w:val="superscript"/>
        </w:rPr>
        <w:t>2</w:t>
      </w:r>
      <w:r w:rsidRPr="009F4300">
        <w:t xml:space="preserve"> in the relevant period.</w:t>
      </w:r>
    </w:p>
    <w:p w:rsidRPr="009F4300" w:rsidR="00F238C5" w:rsidP="00F238C5" w:rsidRDefault="00F238C5" w14:paraId="7665D575" w14:textId="73B67966">
      <w:pPr>
        <w:pStyle w:val="Heading2"/>
      </w:pPr>
      <w:r w:rsidRPr="009F4300">
        <w:t xml:space="preserve">Withholding </w:t>
      </w:r>
      <w:r w:rsidRPr="009F4300" w:rsidR="002E0F9A">
        <w:t>and Income Taxes</w:t>
      </w:r>
    </w:p>
    <w:p w:rsidRPr="009F4300" w:rsidR="00F238C5" w:rsidP="00F238C5" w:rsidRDefault="00F238C5" w14:paraId="3BBAD39A" w14:textId="7E2796D9">
      <w:pPr>
        <w:pStyle w:val="ssPara2"/>
      </w:pPr>
      <w:r w:rsidRPr="009F4300">
        <w:t xml:space="preserve">Any withholding or income taxes imposed by any jurisdiction on items of income, gain, loss or deduction of </w:t>
      </w:r>
      <w:r w:rsidR="002F09C2">
        <w:t xml:space="preserve">[the Scheme / </w:t>
      </w:r>
      <w:r w:rsidRPr="009F4300">
        <w:t xml:space="preserve">a </w:t>
      </w:r>
      <w:r w:rsidR="00D30F5C">
        <w:t>Sub-Fund</w:t>
      </w:r>
      <w:r w:rsidR="002F09C2">
        <w:t>]</w:t>
      </w:r>
      <w:r w:rsidRPr="002B14E8" w:rsidR="002F09C2">
        <w:rPr>
          <w:vertAlign w:val="superscript"/>
        </w:rPr>
        <w:t>2</w:t>
      </w:r>
      <w:r w:rsidRPr="009F4300">
        <w:t>, or incurred directly or indirectly by the</w:t>
      </w:r>
      <w:r w:rsidR="002F09C2">
        <w:t xml:space="preserve"> [Scheme /</w:t>
      </w:r>
      <w:r w:rsidRPr="009F4300">
        <w:t xml:space="preserve"> </w:t>
      </w:r>
      <w:r w:rsidR="00D30F5C">
        <w:t>Sub-Fund</w:t>
      </w:r>
      <w:r w:rsidR="002F09C2">
        <w:t>]</w:t>
      </w:r>
      <w:r w:rsidRPr="002B14E8" w:rsidR="002F09C2">
        <w:rPr>
          <w:vertAlign w:val="superscript"/>
        </w:rPr>
        <w:t>2</w:t>
      </w:r>
      <w:r w:rsidRPr="009F4300">
        <w:t xml:space="preserve"> with respect to its interest in any investment, shall be allocated to each Unitholder in the manner in which the item of income, gain, loss or deduction giving rise to such tax allocated with any increase or decrease in such taxes resulting from the identity, nationality, residence, domicile or other status of a Unitholder being specially allocated to that Unitholder.</w:t>
      </w:r>
    </w:p>
    <w:p w:rsidRPr="009F4300" w:rsidR="00F238C5" w:rsidP="00F238C5" w:rsidRDefault="00F238C5" w14:paraId="09549C95" w14:textId="5580F977">
      <w:pPr>
        <w:pStyle w:val="ssPara2"/>
      </w:pPr>
      <w:r w:rsidRPr="009F4300">
        <w:t xml:space="preserve">This </w:t>
      </w:r>
      <w:r w:rsidR="00314A95">
        <w:t>C</w:t>
      </w:r>
      <w:r w:rsidRPr="009F4300">
        <w:t xml:space="preserve">lause only addresses the treatment of withholding and income taxes for the purposes of calculating a Unitholder’s distributive share of </w:t>
      </w:r>
      <w:r w:rsidR="002F09C2">
        <w:t xml:space="preserve">[Scheme / </w:t>
      </w:r>
      <w:r w:rsidR="00D30F5C">
        <w:t>Sub-Fund</w:t>
      </w:r>
      <w:r w:rsidR="002F09C2">
        <w:t>]</w:t>
      </w:r>
      <w:r w:rsidRPr="002B14E8" w:rsidR="002F09C2">
        <w:rPr>
          <w:vertAlign w:val="superscript"/>
        </w:rPr>
        <w:t>2</w:t>
      </w:r>
      <w:r w:rsidRPr="009F4300">
        <w:t xml:space="preserve"> items of income, gain, loss or deductions and credit for tax purposes; Unitholders are responsible for the payment of any Taxation in accordance with </w:t>
      </w:r>
      <w:r w:rsidR="00314A95">
        <w:t>C</w:t>
      </w:r>
      <w:r w:rsidRPr="009F4300">
        <w:t xml:space="preserve">lause </w:t>
      </w:r>
      <w:r w:rsidRPr="009F4300">
        <w:fldChar w:fldCharType="begin"/>
      </w:r>
      <w:r w:rsidRPr="009F4300">
        <w:instrText xml:space="preserve"> REF _Ref370985410 \r \h  \* MERGEFORMAT </w:instrText>
      </w:r>
      <w:r w:rsidRPr="009F4300">
        <w:fldChar w:fldCharType="separate"/>
      </w:r>
      <w:r w:rsidR="00663122">
        <w:rPr>
          <w:cs/>
        </w:rPr>
        <w:t>‎</w:t>
      </w:r>
      <w:r w:rsidR="00663122">
        <w:t>30.1</w:t>
      </w:r>
      <w:r w:rsidRPr="009F4300">
        <w:fldChar w:fldCharType="end"/>
      </w:r>
      <w:r w:rsidRPr="009F4300">
        <w:t>.</w:t>
      </w:r>
    </w:p>
    <w:p w:rsidRPr="009F4300" w:rsidR="00F238C5" w:rsidP="00F238C5" w:rsidRDefault="002E0F9A" w14:paraId="0E07A73F" w14:textId="34AE4034">
      <w:pPr>
        <w:pStyle w:val="Heading1"/>
        <w:rPr>
          <w:b w:val="0"/>
          <w:bCs w:val="0"/>
          <w:u w:val="none"/>
        </w:rPr>
      </w:pPr>
      <w:bookmarkStart w:name="_Toc179391861" w:id="250"/>
      <w:r w:rsidRPr="009F4300">
        <w:t>[Depositary Discharge of Liability</w:t>
      </w:r>
      <w:bookmarkStart w:name="_NN978" w:id="251"/>
      <w:bookmarkEnd w:id="251"/>
      <w:bookmarkEnd w:id="250"/>
    </w:p>
    <w:p w:rsidRPr="009F4300" w:rsidR="00F238C5" w:rsidP="00F238C5" w:rsidRDefault="00F238C5" w14:paraId="56A7C851" w14:textId="015BAAA6">
      <w:pPr>
        <w:pStyle w:val="ssPara1"/>
        <w:rPr>
          <w:b/>
        </w:rPr>
      </w:pPr>
      <w:r w:rsidRPr="009F4300">
        <w:t xml:space="preserve">To the extent permitted by </w:t>
      </w:r>
      <w:r w:rsidRPr="00400BAE">
        <w:t xml:space="preserve">Regulation 32(2) of the </w:t>
      </w:r>
      <w:r w:rsidR="00B71502">
        <w:t xml:space="preserve">UK </w:t>
      </w:r>
      <w:r w:rsidRPr="00400BAE">
        <w:t>AIFM</w:t>
      </w:r>
      <w:r w:rsidR="00400BAE">
        <w:t xml:space="preserve">D </w:t>
      </w:r>
      <w:r w:rsidRPr="00400BAE">
        <w:t>Regulation</w:t>
      </w:r>
      <w:r w:rsidR="00B71502">
        <w:t>s</w:t>
      </w:r>
      <w:r w:rsidRPr="009F4300">
        <w:t xml:space="preserve">, the </w:t>
      </w:r>
      <w:r w:rsidR="00B21EE2">
        <w:t>Manager</w:t>
      </w:r>
      <w:r w:rsidRPr="009F4300">
        <w:t xml:space="preserve"> may authorise a depositary appointed by or in respect of the Scheme, to discharge itself of liability under </w:t>
      </w:r>
      <w:r w:rsidRPr="00400BAE">
        <w:t xml:space="preserve">Regulation 30(2) or the </w:t>
      </w:r>
      <w:r w:rsidR="00B71502">
        <w:t xml:space="preserve">UK </w:t>
      </w:r>
      <w:r w:rsidRPr="00400BAE" w:rsidR="00400BAE">
        <w:t>AIFM</w:t>
      </w:r>
      <w:r w:rsidR="00400BAE">
        <w:t xml:space="preserve">D </w:t>
      </w:r>
      <w:r w:rsidRPr="00400BAE" w:rsidR="00400BAE">
        <w:t>Regulation</w:t>
      </w:r>
      <w:r w:rsidR="00B71502">
        <w:t>s</w:t>
      </w:r>
      <w:r w:rsidRPr="00400BAE">
        <w:t>, provided that</w:t>
      </w:r>
      <w:r w:rsidR="00400BAE">
        <w:t xml:space="preserve"> the conditions set out in</w:t>
      </w:r>
      <w:r w:rsidRPr="00400BAE">
        <w:t xml:space="preserve"> Regulation 32(2) of the </w:t>
      </w:r>
      <w:r w:rsidR="00B71502">
        <w:t xml:space="preserve">UK </w:t>
      </w:r>
      <w:r w:rsidRPr="00400BAE" w:rsidR="00400BAE">
        <w:t>AIFM</w:t>
      </w:r>
      <w:r w:rsidR="00400BAE">
        <w:t xml:space="preserve">D </w:t>
      </w:r>
      <w:r w:rsidRPr="00400BAE" w:rsidR="00400BAE">
        <w:t>Regulation</w:t>
      </w:r>
      <w:r w:rsidR="00B71502">
        <w:t>s</w:t>
      </w:r>
      <w:r w:rsidR="00400BAE">
        <w:t xml:space="preserve"> are met</w:t>
      </w:r>
      <w:r w:rsidRPr="009F4300">
        <w:t>.]</w:t>
      </w:r>
      <w:r w:rsidR="00605E8C">
        <w:rPr>
          <w:rStyle w:val="EndnoteReference"/>
        </w:rPr>
        <w:endnoteReference w:id="48"/>
      </w:r>
    </w:p>
    <w:p w:rsidRPr="00B71502" w:rsidR="00F238C5" w:rsidP="00F238C5" w:rsidRDefault="002E0F9A" w14:paraId="7DBCC09C" w14:textId="73D7BE4F">
      <w:pPr>
        <w:pStyle w:val="Heading1"/>
        <w:rPr>
          <w:b w:val="0"/>
          <w:bCs w:val="0"/>
          <w:u w:val="none"/>
        </w:rPr>
      </w:pPr>
      <w:bookmarkStart w:name="_Toc179391862" w:id="252"/>
      <w:r w:rsidRPr="00B71502">
        <w:t>[Availability of Information and Periodic Disclosures</w:t>
      </w:r>
      <w:bookmarkStart w:name="_NN979" w:id="253"/>
      <w:bookmarkEnd w:id="253"/>
      <w:bookmarkEnd w:id="252"/>
    </w:p>
    <w:p w:rsidRPr="00B71502" w:rsidR="00F238C5" w:rsidP="00F238C5" w:rsidRDefault="00F238C5" w14:paraId="4D36242C" w14:textId="360852B0">
      <w:pPr>
        <w:pStyle w:val="ssNoHeading2"/>
        <w:rPr>
          <w:b/>
        </w:rPr>
      </w:pPr>
      <w:r w:rsidRPr="00B71502">
        <w:t>In accordance with AIFM</w:t>
      </w:r>
      <w:r w:rsidR="007550BE">
        <w:t xml:space="preserve"> </w:t>
      </w:r>
      <w:r w:rsidRPr="00B71502">
        <w:t>D</w:t>
      </w:r>
      <w:r w:rsidR="007550BE">
        <w:t>irective</w:t>
      </w:r>
      <w:r w:rsidRPr="00B71502">
        <w:t xml:space="preserve"> and the Regulations, the </w:t>
      </w:r>
      <w:r w:rsidRPr="00B71502" w:rsidR="00B21EE2">
        <w:t>Manager</w:t>
      </w:r>
      <w:r w:rsidRPr="00B71502">
        <w:t xml:space="preserve"> shall:</w:t>
      </w:r>
    </w:p>
    <w:p w:rsidRPr="00B71502" w:rsidR="00F238C5" w:rsidP="00F238C5" w:rsidRDefault="00F238C5" w14:paraId="31167D6F" w14:textId="18B81803">
      <w:pPr>
        <w:pStyle w:val="ssNoHeading3"/>
      </w:pPr>
      <w:r w:rsidRPr="00B71502">
        <w:t>make available to potential investors the information required to be made available pre-investment under Article 23(1) and (2) of AIFM</w:t>
      </w:r>
      <w:r w:rsidR="007550BE">
        <w:t xml:space="preserve"> </w:t>
      </w:r>
      <w:r w:rsidRPr="00B71502">
        <w:t>D</w:t>
      </w:r>
      <w:r w:rsidR="007550BE">
        <w:t>irective</w:t>
      </w:r>
      <w:r w:rsidRPr="00B71502">
        <w:t xml:space="preserve">; </w:t>
      </w:r>
    </w:p>
    <w:p w:rsidRPr="00B71502" w:rsidR="00F238C5" w:rsidP="00F238C5" w:rsidRDefault="00F238C5" w14:paraId="46D6CFCF" w14:textId="6704CE8C">
      <w:pPr>
        <w:pStyle w:val="ssNoHeading3"/>
        <w:rPr>
          <w:b/>
        </w:rPr>
      </w:pPr>
      <w:r w:rsidRPr="00B71502">
        <w:t>make available to Unitholders or potential investors any material changes to the information to be made available under Article 23(1) and (2) of AIFM</w:t>
      </w:r>
      <w:r w:rsidR="007550BE">
        <w:t xml:space="preserve"> </w:t>
      </w:r>
      <w:r w:rsidRPr="00B71502">
        <w:t>D</w:t>
      </w:r>
      <w:r w:rsidR="007550BE">
        <w:t>irective</w:t>
      </w:r>
      <w:r w:rsidRPr="00B71502">
        <w:t>; and</w:t>
      </w:r>
    </w:p>
    <w:p w:rsidRPr="00B71502" w:rsidR="00F238C5" w:rsidP="00F238C5" w:rsidRDefault="00F238C5" w14:paraId="39EF12CA" w14:textId="0920D27B">
      <w:pPr>
        <w:pStyle w:val="ssNoHeading3"/>
        <w:rPr>
          <w:b/>
        </w:rPr>
      </w:pPr>
      <w:r w:rsidRPr="00B71502">
        <w:t>periodically disclose to Unitholders the information required under Article 23 (4) and (5) of AIFM</w:t>
      </w:r>
      <w:r w:rsidR="007550BE">
        <w:t xml:space="preserve"> </w:t>
      </w:r>
      <w:r w:rsidRPr="00B71502">
        <w:t>D</w:t>
      </w:r>
      <w:r w:rsidR="007550BE">
        <w:t>irective</w:t>
      </w:r>
      <w:r w:rsidRPr="00B71502">
        <w:t>.]</w:t>
      </w:r>
      <w:r w:rsidR="00BA397A">
        <w:rPr>
          <w:rStyle w:val="EndnoteReference"/>
        </w:rPr>
        <w:endnoteReference w:id="49"/>
      </w:r>
      <w:r w:rsidRPr="00B71502">
        <w:t xml:space="preserve"> </w:t>
      </w:r>
    </w:p>
    <w:p w:rsidR="00BB26A1" w:rsidP="00BB26A1" w:rsidRDefault="00BB26A1" w14:paraId="1381D9DF" w14:textId="77777777">
      <w:pPr>
        <w:pStyle w:val="Heading1"/>
      </w:pPr>
      <w:bookmarkStart w:name="_Toc80522079" w:id="254"/>
      <w:bookmarkStart w:name="_Toc116651822" w:id="255"/>
      <w:bookmarkStart w:name="_Toc179391863" w:id="256"/>
      <w:r>
        <w:lastRenderedPageBreak/>
        <w:t>Amendments</w:t>
      </w:r>
      <w:bookmarkEnd w:id="254"/>
      <w:bookmarkEnd w:id="255"/>
      <w:bookmarkEnd w:id="256"/>
    </w:p>
    <w:p w:rsidRPr="00BB26A1" w:rsidR="00BB26A1" w:rsidP="00BB26A1" w:rsidRDefault="00BB26A1" w14:paraId="62365075" w14:textId="345A2169">
      <w:pPr>
        <w:pStyle w:val="ssNoHeading2"/>
        <w:numPr>
          <w:ilvl w:val="0"/>
          <w:numId w:val="0"/>
        </w:numPr>
        <w:ind w:left="709"/>
      </w:pPr>
      <w:r w:rsidRPr="00A9030A">
        <w:rPr>
          <w:spacing w:val="-2"/>
        </w:rPr>
        <w:t>Amendments</w:t>
      </w:r>
      <w:r>
        <w:t xml:space="preserve"> may be made to this Deed by resolution of the Manager to the extent permitted by the FCA Rules</w:t>
      </w:r>
      <w:r w:rsidRPr="000141F7">
        <w:rPr>
          <w:rStyle w:val="EndnoteReference"/>
        </w:rPr>
        <w:endnoteReference w:id="50"/>
      </w:r>
      <w:r>
        <w:t>.</w:t>
      </w:r>
    </w:p>
    <w:p w:rsidRPr="009F4300" w:rsidR="00F238C5" w:rsidP="00F238C5" w:rsidRDefault="002E0F9A" w14:paraId="352987D3" w14:textId="4855C130">
      <w:pPr>
        <w:pStyle w:val="Heading1"/>
      </w:pPr>
      <w:bookmarkStart w:name="_Toc179391864" w:id="257"/>
      <w:r w:rsidRPr="009F4300">
        <w:t>Winding Up</w:t>
      </w:r>
      <w:bookmarkStart w:name="_NN981" w:id="258"/>
      <w:bookmarkEnd w:id="258"/>
      <w:bookmarkEnd w:id="257"/>
    </w:p>
    <w:p w:rsidRPr="009F4300" w:rsidR="00F238C5" w:rsidP="00F238C5" w:rsidRDefault="00F238C5" w14:paraId="154C788E" w14:textId="5D33334E">
      <w:pPr>
        <w:pStyle w:val="ssNoHeading2"/>
      </w:pPr>
      <w:r w:rsidRPr="009F4300">
        <w:t xml:space="preserve">The </w:t>
      </w:r>
      <w:r w:rsidR="00B21EE2">
        <w:t>Manager</w:t>
      </w:r>
      <w:r w:rsidRPr="009F4300">
        <w:t xml:space="preserve"> and the Depositary must wind up the Scheme if directed to do so by the FCA in exercise of its powers under section 261X of </w:t>
      </w:r>
      <w:r w:rsidR="00881E02">
        <w:t>the Act</w:t>
      </w:r>
      <w:r w:rsidRPr="009F4300">
        <w:t xml:space="preserve">. Where the Scheme </w:t>
      </w:r>
      <w:r w:rsidR="002F09C2">
        <w:t>[</w:t>
      </w:r>
      <w:r w:rsidRPr="009F4300">
        <w:t xml:space="preserve">or a </w:t>
      </w:r>
      <w:r w:rsidR="00D30F5C">
        <w:t>Sub-Fund</w:t>
      </w:r>
      <w:r w:rsidR="002F09C2">
        <w:t>]</w:t>
      </w:r>
      <w:r w:rsidRPr="002B14E8" w:rsidR="002F09C2">
        <w:rPr>
          <w:vertAlign w:val="superscript"/>
        </w:rPr>
        <w:t>2</w:t>
      </w:r>
      <w:r w:rsidRPr="009F4300">
        <w:t xml:space="preserve"> is to be wound up, the winding up will take place in accordance with </w:t>
      </w:r>
      <w:r w:rsidR="005A54C9">
        <w:t>the FCA Rules</w:t>
      </w:r>
      <w:r w:rsidRPr="009F4300">
        <w:t>.</w:t>
      </w:r>
    </w:p>
    <w:p w:rsidR="000B74DB" w:rsidP="000B74DB" w:rsidRDefault="000B74DB" w14:paraId="2CE3CB48" w14:textId="4992DE28">
      <w:pPr>
        <w:pStyle w:val="ssNoHeading2"/>
      </w:pPr>
      <w:r>
        <w:t xml:space="preserve">The </w:t>
      </w:r>
      <w:r w:rsidR="00366D7F">
        <w:t>Scheme</w:t>
      </w:r>
      <w:r>
        <w:t xml:space="preserve"> shall be wound up subject to and in accordance with the Regulations, by the Manager in its absolute discretion including, without limitation, in the following circumstances:</w:t>
      </w:r>
    </w:p>
    <w:p w:rsidRPr="000B74DB" w:rsidR="000B74DB" w:rsidP="001F434C" w:rsidRDefault="001F434C" w14:paraId="175EDA27" w14:textId="3A9FA120">
      <w:pPr>
        <w:pStyle w:val="Heading3"/>
        <w:rPr>
          <w:b w:val="0"/>
        </w:rPr>
      </w:pPr>
      <w:r w:rsidRPr="00280265">
        <w:rPr>
          <w:b w:val="0"/>
          <w:bCs w:val="0"/>
        </w:rPr>
        <w:t>[</w:t>
      </w:r>
      <w:r w:rsidRPr="00892DBD">
        <w:rPr>
          <w:b w:val="0"/>
          <w:bCs w:val="0"/>
          <w:i/>
          <w:iCs/>
          <w:highlight w:val="yellow"/>
        </w:rPr>
        <w:t xml:space="preserve">insert detail on the circumstances in which the Scheme may be wound up at the </w:t>
      </w:r>
      <w:r w:rsidRPr="00892DBD" w:rsidR="001900B1">
        <w:rPr>
          <w:b w:val="0"/>
          <w:bCs w:val="0"/>
          <w:i/>
          <w:iCs/>
          <w:highlight w:val="yellow"/>
        </w:rPr>
        <w:t>Manager</w:t>
      </w:r>
      <w:r w:rsidRPr="00892DBD">
        <w:rPr>
          <w:b w:val="0"/>
          <w:bCs w:val="0"/>
          <w:i/>
          <w:iCs/>
          <w:highlight w:val="yellow"/>
        </w:rPr>
        <w:t>’s discretion</w:t>
      </w:r>
      <w:r w:rsidRPr="00280265">
        <w:rPr>
          <w:b w:val="0"/>
          <w:bCs w:val="0"/>
        </w:rPr>
        <w:t>]</w:t>
      </w:r>
      <w:r>
        <w:rPr>
          <w:b w:val="0"/>
          <w:bCs w:val="0"/>
        </w:rPr>
        <w:t>.</w:t>
      </w:r>
    </w:p>
    <w:p w:rsidRPr="009F4300" w:rsidR="00F238C5" w:rsidP="00F238C5" w:rsidRDefault="00F238C5" w14:paraId="31B99D54" w14:textId="06FA33CA">
      <w:pPr>
        <w:pStyle w:val="ssNoHeading2"/>
      </w:pPr>
      <w:r w:rsidRPr="009F4300">
        <w:t xml:space="preserve">Subject to </w:t>
      </w:r>
      <w:r w:rsidRPr="009F4300" w:rsidR="000B5792">
        <w:fldChar w:fldCharType="begin"/>
      </w:r>
      <w:r w:rsidRPr="009F4300" w:rsidR="000B5792">
        <w:instrText xml:space="preserve"> REF _Ref117249581 \n \h </w:instrText>
      </w:r>
      <w:r w:rsidRPr="009F4300" w:rsidR="000B5792">
        <w:fldChar w:fldCharType="separate"/>
      </w:r>
      <w:r w:rsidR="00663122">
        <w:rPr>
          <w:cs/>
        </w:rPr>
        <w:t>‎</w:t>
      </w:r>
      <w:r w:rsidR="00663122">
        <w:t>Part 4</w:t>
      </w:r>
      <w:r w:rsidRPr="009F4300" w:rsidR="000B5792">
        <w:fldChar w:fldCharType="end"/>
      </w:r>
      <w:r w:rsidRPr="009F4300">
        <w:t xml:space="preserve"> of the Schedule</w:t>
      </w:r>
      <w:r w:rsidR="001900B1">
        <w:t xml:space="preserve"> to this Deed</w:t>
      </w:r>
      <w:r w:rsidRPr="009F4300">
        <w:t>, the rights of the Unit</w:t>
      </w:r>
      <w:r w:rsidR="001900B1">
        <w:t>holders</w:t>
      </w:r>
      <w:r w:rsidRPr="009F4300">
        <w:t xml:space="preserve"> to participate in the property </w:t>
      </w:r>
      <w:r w:rsidR="001900B1">
        <w:t>[</w:t>
      </w:r>
      <w:r w:rsidRPr="009F4300">
        <w:t xml:space="preserve">comprised in a </w:t>
      </w:r>
      <w:r w:rsidR="00D30F5C">
        <w:t>Sub-Fund</w:t>
      </w:r>
      <w:r w:rsidR="002F09C2">
        <w:t>]</w:t>
      </w:r>
      <w:r w:rsidRPr="002B14E8" w:rsidR="002F09C2">
        <w:rPr>
          <w:vertAlign w:val="superscript"/>
        </w:rPr>
        <w:t>2</w:t>
      </w:r>
      <w:r w:rsidRPr="009F4300">
        <w:t xml:space="preserve"> on a winding up of the </w:t>
      </w:r>
      <w:r w:rsidR="00885391">
        <w:t>Scheme</w:t>
      </w:r>
      <w:r w:rsidRPr="009F4300">
        <w:t xml:space="preserve"> </w:t>
      </w:r>
      <w:r w:rsidR="0041310A">
        <w:t>[</w:t>
      </w:r>
      <w:r w:rsidRPr="009F4300">
        <w:t xml:space="preserve">or a termination of a </w:t>
      </w:r>
      <w:r w:rsidR="00D30F5C">
        <w:t>Sub-Fund</w:t>
      </w:r>
      <w:r w:rsidR="0041310A">
        <w:t>]</w:t>
      </w:r>
      <w:r w:rsidRPr="002B14E8" w:rsidR="0041310A">
        <w:rPr>
          <w:vertAlign w:val="superscript"/>
        </w:rPr>
        <w:t>2</w:t>
      </w:r>
      <w:r w:rsidRPr="009F4300">
        <w:t xml:space="preserve"> shall be </w:t>
      </w:r>
      <w:r w:rsidR="001900B1">
        <w:t>proportionate to the number of units of entitlement in the</w:t>
      </w:r>
      <w:r w:rsidRPr="009F4300">
        <w:t xml:space="preserve"> </w:t>
      </w:r>
      <w:r w:rsidR="0041310A">
        <w:t xml:space="preserve">[Scheme / </w:t>
      </w:r>
      <w:r w:rsidR="00D30F5C">
        <w:t>Sub-Fund</w:t>
      </w:r>
      <w:r w:rsidR="0041310A">
        <w:t>]</w:t>
      </w:r>
      <w:r w:rsidRPr="002B14E8" w:rsidR="0041310A">
        <w:rPr>
          <w:vertAlign w:val="superscript"/>
        </w:rPr>
        <w:t>2</w:t>
      </w:r>
      <w:r w:rsidRPr="009F4300">
        <w:t xml:space="preserve"> represented by the Units which they hold, determined in accordance with </w:t>
      </w:r>
      <w:r w:rsidRPr="009F4300" w:rsidR="000B5792">
        <w:fldChar w:fldCharType="begin"/>
      </w:r>
      <w:r w:rsidRPr="009F4300" w:rsidR="000B5792">
        <w:instrText xml:space="preserve"> REF _Ref117249598 \n \h </w:instrText>
      </w:r>
      <w:r w:rsidRPr="009F4300" w:rsidR="000B5792">
        <w:fldChar w:fldCharType="separate"/>
      </w:r>
      <w:r w:rsidR="00663122">
        <w:rPr>
          <w:cs/>
        </w:rPr>
        <w:t>‎</w:t>
      </w:r>
      <w:r w:rsidR="00663122">
        <w:t>Part 4</w:t>
      </w:r>
      <w:r w:rsidRPr="009F4300" w:rsidR="000B5792">
        <w:fldChar w:fldCharType="end"/>
      </w:r>
      <w:r w:rsidRPr="009F4300">
        <w:t xml:space="preserve"> of the Schedule</w:t>
      </w:r>
      <w:r w:rsidR="001900B1">
        <w:t xml:space="preserve"> to this Deed</w:t>
      </w:r>
      <w:r w:rsidRPr="009F4300">
        <w:t>.</w:t>
      </w:r>
      <w:r w:rsidRPr="000141F7" w:rsidR="00B8327D">
        <w:rPr>
          <w:rStyle w:val="EndnoteReference"/>
        </w:rPr>
        <w:endnoteReference w:id="51"/>
      </w:r>
      <w:r w:rsidRPr="009F4300">
        <w:t xml:space="preserve"> </w:t>
      </w:r>
    </w:p>
    <w:p w:rsidR="00B8327D" w:rsidP="00B8327D" w:rsidRDefault="00B8327D" w14:paraId="5FF39D9B" w14:textId="77777777">
      <w:pPr>
        <w:pStyle w:val="Heading1"/>
      </w:pPr>
      <w:bookmarkStart w:name="_Toc80522086" w:id="259"/>
      <w:bookmarkStart w:name="_Toc116651829" w:id="260"/>
      <w:bookmarkStart w:name="_Toc179391865" w:id="261"/>
      <w:r>
        <w:t>Notices</w:t>
      </w:r>
      <w:bookmarkEnd w:id="259"/>
      <w:bookmarkEnd w:id="260"/>
      <w:bookmarkEnd w:id="261"/>
    </w:p>
    <w:p w:rsidR="00B8327D" w:rsidP="00B8327D" w:rsidRDefault="00B8327D" w14:paraId="1FF23068" w14:textId="7FDF4C40">
      <w:pPr>
        <w:pStyle w:val="ssNoHeading2"/>
      </w:pPr>
      <w:r>
        <w:t>The provisions within the FCA Rules shall be treated as applying to any notice or document to be given to the Scheme pursuant to this Deed.</w:t>
      </w:r>
    </w:p>
    <w:p w:rsidR="00B8327D" w:rsidP="00B8327D" w:rsidRDefault="00B8327D" w14:paraId="2937CB3E" w14:textId="7F3DFF15">
      <w:pPr>
        <w:pStyle w:val="ssNoHeading2"/>
      </w:pPr>
      <w:r>
        <w:t>A Unitholder whose registered address is not within the United Kingdom and who gives to the Scheme an address within the United Kingdom at which notices may be given to them shall be entitled to have notices given to them at that address. If they have not given such an address the Scheme shall give notices to them at their address outside the United Kingdom unless doing so would contravene any applicable laws or regulations.</w:t>
      </w:r>
      <w:r w:rsidRPr="00990BD5">
        <w:rPr>
          <w:rStyle w:val="EndnoteReference"/>
        </w:rPr>
        <w:t xml:space="preserve"> </w:t>
      </w:r>
      <w:r>
        <w:rPr>
          <w:rStyle w:val="EndnoteReference"/>
        </w:rPr>
        <w:endnoteReference w:id="52"/>
      </w:r>
    </w:p>
    <w:p w:rsidR="00B8327D" w:rsidP="00B8327D" w:rsidRDefault="00B8327D" w14:paraId="5C7CCB9C" w14:textId="5798DA57">
      <w:pPr>
        <w:pStyle w:val="ssNoHeading2"/>
      </w:pPr>
      <w:r>
        <w:t>A person entitled to a Unit or Units in consequence of the death or bankruptcy of a Unitholder or other operation of law shall, upon such evidence being produced as may from time to time be lawfully required by the Manager as to their entitlement and upon supplying also an address for the service of notices, be entitled to have served upon or delivered to them at such address any notice or document to which the Unitholder but for their death, bankruptcy or other event giving rise to the transmission would have been entitled, and service or delivery of such notice or document in such way shall be deemed good service on all persons interested (whether jointly with or claiming through or under them) in the Unit. Save as aforesaid any notice or document delivered or sent by post to or left at the address of any Unitholder in accordance with the FCA Rules shall, notwithstanding the death or bankruptcy of such Unitholder or other operation of law and whether or not the Scheme has notice of such state of affairs, be deemed to have been duly served or delivered in respect of any Unit registered in the name of such Unitholder as sole or joint holder.</w:t>
      </w:r>
    </w:p>
    <w:p w:rsidR="00B8327D" w:rsidP="00B8327D" w:rsidRDefault="00B8327D" w14:paraId="3A9C0174" w14:textId="664CFA58">
      <w:pPr>
        <w:pStyle w:val="ssNoHeading2"/>
        <w:rPr>
          <w:spacing w:val="-2"/>
        </w:rPr>
      </w:pPr>
      <w:r>
        <w:t>In the case of joint Unitholders, service of a notice or document on any one is effective service on the other joint Unitholders.</w:t>
      </w:r>
    </w:p>
    <w:p w:rsidR="00B8327D" w:rsidP="00B8327D" w:rsidRDefault="00B8327D" w14:paraId="0DF09A8E" w14:textId="371DBBDF">
      <w:pPr>
        <w:pStyle w:val="ssNoHeading2"/>
      </w:pPr>
      <w:r>
        <w:t>If at any time by reason of the suspension or curtailment of postal services within the United Kingdom or any other country or territory, the Scheme is unable effectively to convene a general meeting of the Scheme[, Sub-Fund meeting]</w:t>
      </w:r>
      <w:r>
        <w:rPr>
          <w:vertAlign w:val="superscript"/>
        </w:rPr>
        <w:t>2</w:t>
      </w:r>
      <w:r>
        <w:t xml:space="preserve"> or Class </w:t>
      </w:r>
      <w:r w:rsidR="004321DB">
        <w:t xml:space="preserve">Meeting </w:t>
      </w:r>
      <w:r>
        <w:t xml:space="preserve">by notices sent </w:t>
      </w:r>
      <w:r>
        <w:lastRenderedPageBreak/>
        <w:t>through the post, such a meeting may be convened by a notice advertised on the same date in at least two leading daily newspapers with appropriate circulation and such notice shall be deemed to have been duly served on all Unitholders entitled to receive the same at noon on the day when the advertisement appears. In any such case the Scheme shall send confirmatory copies of the notice by post if at least seven days prior to the meeting the posting of notices to addresses throughout the United Kingdom or such other country or territory again becomes practicable.</w:t>
      </w:r>
    </w:p>
    <w:p w:rsidRPr="00B8327D" w:rsidR="00B8327D" w:rsidP="00B8327D" w:rsidRDefault="00B8327D" w14:paraId="0914043F" w14:textId="4618E02C">
      <w:pPr>
        <w:pStyle w:val="Heading2"/>
        <w:rPr>
          <w:b w:val="0"/>
          <w:bCs w:val="0"/>
        </w:rPr>
      </w:pPr>
      <w:r w:rsidRPr="00B8327D">
        <w:rPr>
          <w:b w:val="0"/>
          <w:bCs w:val="0"/>
        </w:rPr>
        <w:t xml:space="preserve">Without limitation to the foregoing, the </w:t>
      </w:r>
      <w:r>
        <w:rPr>
          <w:b w:val="0"/>
          <w:bCs w:val="0"/>
        </w:rPr>
        <w:t>Manager</w:t>
      </w:r>
      <w:r w:rsidRPr="00B8327D">
        <w:rPr>
          <w:b w:val="0"/>
          <w:bCs w:val="0"/>
        </w:rPr>
        <w:t xml:space="preserve"> may release or disclose to the </w:t>
      </w:r>
      <w:r>
        <w:rPr>
          <w:b w:val="0"/>
          <w:bCs w:val="0"/>
        </w:rPr>
        <w:t>Unit</w:t>
      </w:r>
      <w:r w:rsidRPr="00B8327D">
        <w:rPr>
          <w:b w:val="0"/>
          <w:bCs w:val="0"/>
        </w:rPr>
        <w:t xml:space="preserve">holders and prospective investors any information in their possession regarding the Scheme and its affairs if lawfully required to do so under any applicable laws, rules or regulations, in such manner, at such times and on such terms as the </w:t>
      </w:r>
      <w:r>
        <w:rPr>
          <w:b w:val="0"/>
          <w:bCs w:val="0"/>
        </w:rPr>
        <w:t>Manager</w:t>
      </w:r>
      <w:r w:rsidRPr="00B8327D">
        <w:rPr>
          <w:b w:val="0"/>
          <w:bCs w:val="0"/>
        </w:rPr>
        <w:t xml:space="preserve"> may from time to time determine.</w:t>
      </w:r>
    </w:p>
    <w:p w:rsidRPr="009F4300" w:rsidR="00F238C5" w:rsidP="00F238C5" w:rsidRDefault="002E0F9A" w14:paraId="38D56CC4" w14:textId="3C50F6AC">
      <w:pPr>
        <w:pStyle w:val="Heading1"/>
      </w:pPr>
      <w:bookmarkStart w:name="_Toc179391866" w:id="262"/>
      <w:r w:rsidRPr="009F4300">
        <w:t>Counterparts</w:t>
      </w:r>
      <w:bookmarkStart w:name="_NN982" w:id="263"/>
      <w:bookmarkEnd w:id="237"/>
      <w:bookmarkEnd w:id="263"/>
      <w:bookmarkEnd w:id="262"/>
    </w:p>
    <w:p w:rsidRPr="009F4300" w:rsidR="00F238C5" w:rsidP="00F238C5" w:rsidRDefault="00F238C5" w14:paraId="6EBA7F74" w14:textId="760FC716">
      <w:pPr>
        <w:pStyle w:val="ssPara1"/>
      </w:pPr>
      <w:r w:rsidRPr="009F4300">
        <w:t xml:space="preserve">This </w:t>
      </w:r>
      <w:r w:rsidR="00B21EE2">
        <w:t>Deed</w:t>
      </w:r>
      <w:r w:rsidRPr="009F4300">
        <w:t xml:space="preserve"> may be executed in any number of counterparts and by the different parties to it on separate counterparts all of which when executed and delivered shall constitute an original and all such counterparts together constituting but one and the same instrument.</w:t>
      </w:r>
    </w:p>
    <w:p w:rsidRPr="009F4300" w:rsidR="00F238C5" w:rsidP="00F238C5" w:rsidRDefault="002E0F9A" w14:paraId="03B886B2" w14:textId="57C0DC82">
      <w:pPr>
        <w:pStyle w:val="Heading1"/>
      </w:pPr>
      <w:bookmarkStart w:name="_DV_M210" w:id="264"/>
      <w:bookmarkStart w:name="_Toc179391867" w:id="265"/>
      <w:bookmarkEnd w:id="264"/>
      <w:r w:rsidRPr="009F4300">
        <w:rPr>
          <w:w w:val="0"/>
        </w:rPr>
        <w:t>Governing Law</w:t>
      </w:r>
      <w:bookmarkStart w:name="_NN983" w:id="266"/>
      <w:bookmarkEnd w:id="266"/>
      <w:bookmarkEnd w:id="265"/>
    </w:p>
    <w:p w:rsidRPr="009F4300" w:rsidR="00F238C5" w:rsidP="00F238C5" w:rsidRDefault="00F238C5" w14:paraId="59141063" w14:textId="2B17DC30">
      <w:pPr>
        <w:pStyle w:val="ssPara1"/>
      </w:pPr>
      <w:bookmarkStart w:name="_DV_M211" w:id="267"/>
      <w:bookmarkEnd w:id="267"/>
      <w:r w:rsidRPr="009F4300">
        <w:rPr>
          <w:w w:val="0"/>
        </w:rPr>
        <w:t xml:space="preserve">This </w:t>
      </w:r>
      <w:r w:rsidR="00B21EE2">
        <w:rPr>
          <w:w w:val="0"/>
        </w:rPr>
        <w:t>Deed</w:t>
      </w:r>
      <w:r w:rsidRPr="009F4300">
        <w:rPr>
          <w:w w:val="0"/>
        </w:rPr>
        <w:t xml:space="preserve"> is made under and governed by and shall be constituted in accordance with the laws of England and Wales.</w:t>
      </w:r>
    </w:p>
    <w:p w:rsidRPr="009F4300" w:rsidR="00F238C5" w:rsidP="00F238C5" w:rsidRDefault="00F238C5" w14:paraId="27189E76" w14:textId="77777777">
      <w:pPr>
        <w:pStyle w:val="ssqSchedule"/>
        <w:rPr>
          <w:w w:val="0"/>
        </w:rPr>
      </w:pPr>
      <w:bookmarkStart w:name="_DV_M212" w:id="268"/>
      <w:bookmarkStart w:name="_Toc179391868" w:id="269"/>
      <w:bookmarkStart w:name="_Ref117249266" w:id="270"/>
      <w:bookmarkEnd w:id="268"/>
      <w:bookmarkEnd w:id="269"/>
    </w:p>
    <w:p w:rsidRPr="009F4300" w:rsidR="00F238C5" w:rsidP="00F238C5" w:rsidRDefault="002E0F9A" w14:paraId="3C90AD54" w14:textId="0E95895C">
      <w:pPr>
        <w:pStyle w:val="ssqPart"/>
      </w:pPr>
      <w:bookmarkStart w:name="_DV_M213" w:id="271"/>
      <w:bookmarkStart w:name="_Ref117249332" w:id="272"/>
      <w:bookmarkStart w:name="_Ref117249345" w:id="273"/>
      <w:bookmarkStart w:name="_Ref117249495" w:id="274"/>
      <w:bookmarkStart w:name="_Ref118215025" w:id="275"/>
      <w:bookmarkStart w:name="_Ref153961649" w:id="276"/>
      <w:bookmarkStart w:name="_Toc179391869" w:id="277"/>
      <w:bookmarkEnd w:id="270"/>
      <w:bookmarkEnd w:id="271"/>
      <w:r w:rsidRPr="009F4300">
        <w:t xml:space="preserve">: </w:t>
      </w:r>
      <w:r w:rsidR="0041310A">
        <w:t>[</w:t>
      </w:r>
      <w:r w:rsidRPr="009F4300">
        <w:t>SUB-FUNDS</w:t>
      </w:r>
      <w:bookmarkEnd w:id="272"/>
      <w:bookmarkEnd w:id="273"/>
      <w:bookmarkEnd w:id="274"/>
      <w:r w:rsidR="0041310A">
        <w:t>]</w:t>
      </w:r>
      <w:bookmarkEnd w:id="275"/>
      <w:r w:rsidRPr="00362433" w:rsidR="00605E8C">
        <w:rPr>
          <w:rStyle w:val="EndnoteReference"/>
          <w:b w:val="0"/>
          <w:bCs/>
        </w:rPr>
        <w:endnoteReference w:id="53"/>
      </w:r>
      <w:bookmarkEnd w:id="276"/>
      <w:bookmarkEnd w:id="277"/>
    </w:p>
    <w:p w:rsidRPr="009F4300" w:rsidR="00F238C5" w:rsidP="00F238C5" w:rsidRDefault="00F238C5" w14:paraId="793B0875" w14:textId="3EED9C44">
      <w:pPr>
        <w:pStyle w:val="ssRestartNumber"/>
      </w:pPr>
    </w:p>
    <w:p w:rsidR="00B202DF" w:rsidP="00B202DF" w:rsidRDefault="00B202DF" w14:paraId="0D19A6ED" w14:textId="230B74D1">
      <w:pPr>
        <w:pStyle w:val="ssNoHeading1"/>
      </w:pPr>
      <w:bookmarkStart w:name="_Toc95771013" w:id="278"/>
      <w:bookmarkStart w:name="_Toc98167120" w:id="279"/>
      <w:bookmarkStart w:name="_Toc102004081" w:id="280"/>
      <w:bookmarkStart w:name="_Toc102940331" w:id="281"/>
      <w:bookmarkStart w:name="_Toc116649478" w:id="282"/>
      <w:bookmarkStart w:name="_Toc116651835" w:id="283"/>
      <w:bookmarkStart w:name="_Hlk128752251" w:id="284"/>
      <w:r>
        <w:t>Set out below are the Sub-Fund(s) which are available in the Scheme and their respective investment objectives (and any special investment powers).</w:t>
      </w:r>
      <w:bookmarkEnd w:id="278"/>
      <w:bookmarkEnd w:id="279"/>
      <w:bookmarkEnd w:id="280"/>
      <w:bookmarkEnd w:id="281"/>
      <w:bookmarkEnd w:id="282"/>
      <w:bookmarkEnd w:id="283"/>
    </w:p>
    <w:p w:rsidR="00B202DF" w:rsidP="00B202DF" w:rsidRDefault="00B202DF" w14:paraId="2C257F6E" w14:textId="6EBA8152">
      <w:pPr>
        <w:pStyle w:val="ssPara2"/>
        <w:numPr>
          <w:ilvl w:val="0"/>
          <w:numId w:val="0"/>
        </w:numPr>
        <w:ind w:left="709"/>
      </w:pPr>
      <w:r>
        <w:t>Each Sub-Fund will qualify as an LTAF for the purposes of the FCA Rules as if each Sub-Fund were itself an authorised contractual scheme in respect of which an authorisation order made by the FCA were in force.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2"/>
        <w:gridCol w:w="4051"/>
        <w:gridCol w:w="4051"/>
      </w:tblGrid>
      <w:tr w:rsidR="00C24F78" w:rsidTr="00C24F78" w14:paraId="365923D8" w14:textId="3F78F9B2">
        <w:tc>
          <w:tcPr>
            <w:tcW w:w="742" w:type="pct"/>
            <w:tcBorders>
              <w:top w:val="single" w:color="auto" w:sz="4" w:space="0"/>
              <w:left w:val="single" w:color="auto" w:sz="4" w:space="0"/>
              <w:bottom w:val="single" w:color="auto" w:sz="4" w:space="0"/>
              <w:right w:val="single" w:color="auto" w:sz="4" w:space="0"/>
            </w:tcBorders>
            <w:hideMark/>
          </w:tcPr>
          <w:p w:rsidR="00C24F78" w:rsidP="00366D7F" w:rsidRDefault="00C24F78" w14:paraId="359674AE" w14:textId="194B4CEA">
            <w:pPr>
              <w:jc w:val="left"/>
              <w:rPr>
                <w:b/>
                <w:bCs/>
              </w:rPr>
            </w:pPr>
            <w:r>
              <w:rPr>
                <w:b/>
                <w:bCs/>
              </w:rPr>
              <w:t>Name of Sub-Fund</w:t>
            </w:r>
          </w:p>
        </w:tc>
        <w:tc>
          <w:tcPr>
            <w:tcW w:w="2129" w:type="pct"/>
            <w:tcBorders>
              <w:top w:val="single" w:color="auto" w:sz="4" w:space="0"/>
              <w:left w:val="single" w:color="auto" w:sz="4" w:space="0"/>
              <w:bottom w:val="single" w:color="auto" w:sz="4" w:space="0"/>
              <w:right w:val="single" w:color="auto" w:sz="4" w:space="0"/>
            </w:tcBorders>
            <w:hideMark/>
          </w:tcPr>
          <w:p w:rsidR="00C24F78" w:rsidP="00366D7F" w:rsidRDefault="00C24F78" w14:paraId="68070941" w14:textId="77777777">
            <w:pPr>
              <w:jc w:val="left"/>
              <w:rPr>
                <w:b/>
                <w:bCs/>
              </w:rPr>
            </w:pPr>
            <w:r>
              <w:rPr>
                <w:b/>
                <w:bCs/>
              </w:rPr>
              <w:t>Investment Objective</w:t>
            </w:r>
          </w:p>
        </w:tc>
        <w:tc>
          <w:tcPr>
            <w:tcW w:w="2129" w:type="pct"/>
            <w:tcBorders>
              <w:top w:val="single" w:color="auto" w:sz="4" w:space="0"/>
              <w:left w:val="single" w:color="auto" w:sz="4" w:space="0"/>
              <w:bottom w:val="single" w:color="auto" w:sz="4" w:space="0"/>
              <w:right w:val="single" w:color="auto" w:sz="4" w:space="0"/>
            </w:tcBorders>
          </w:tcPr>
          <w:p w:rsidR="00C24F78" w:rsidP="00366D7F" w:rsidRDefault="00C24F78" w14:paraId="1F0FE973" w14:textId="053F2858">
            <w:pPr>
              <w:jc w:val="left"/>
              <w:rPr>
                <w:b/>
                <w:bCs/>
              </w:rPr>
            </w:pPr>
            <w:r>
              <w:rPr>
                <w:b/>
                <w:bCs/>
              </w:rPr>
              <w:t>Base Currency</w:t>
            </w:r>
          </w:p>
        </w:tc>
      </w:tr>
      <w:tr w:rsidR="00C24F78" w:rsidTr="00C24F78" w14:paraId="340D5D89" w14:textId="407B94B4">
        <w:tc>
          <w:tcPr>
            <w:tcW w:w="742" w:type="pct"/>
            <w:tcBorders>
              <w:top w:val="single" w:color="auto" w:sz="4" w:space="0"/>
              <w:left w:val="single" w:color="auto" w:sz="4" w:space="0"/>
              <w:bottom w:val="single" w:color="auto" w:sz="4" w:space="0"/>
              <w:right w:val="single" w:color="auto" w:sz="4" w:space="0"/>
            </w:tcBorders>
          </w:tcPr>
          <w:p w:rsidR="00C24F78" w:rsidP="00366D7F" w:rsidRDefault="00C24F78" w14:paraId="14C0D6CF" w14:textId="77777777">
            <w:pPr>
              <w:jc w:val="left"/>
            </w:pPr>
          </w:p>
        </w:tc>
        <w:tc>
          <w:tcPr>
            <w:tcW w:w="2129" w:type="pct"/>
            <w:tcBorders>
              <w:top w:val="single" w:color="auto" w:sz="4" w:space="0"/>
              <w:left w:val="single" w:color="auto" w:sz="4" w:space="0"/>
              <w:bottom w:val="single" w:color="auto" w:sz="4" w:space="0"/>
              <w:right w:val="single" w:color="auto" w:sz="4" w:space="0"/>
            </w:tcBorders>
          </w:tcPr>
          <w:p w:rsidR="00C24F78" w:rsidP="00366D7F" w:rsidRDefault="00C24F78" w14:paraId="44FD85A9" w14:textId="77777777">
            <w:pPr>
              <w:jc w:val="left"/>
            </w:pPr>
          </w:p>
        </w:tc>
        <w:tc>
          <w:tcPr>
            <w:tcW w:w="2129" w:type="pct"/>
            <w:tcBorders>
              <w:top w:val="single" w:color="auto" w:sz="4" w:space="0"/>
              <w:left w:val="single" w:color="auto" w:sz="4" w:space="0"/>
              <w:bottom w:val="single" w:color="auto" w:sz="4" w:space="0"/>
              <w:right w:val="single" w:color="auto" w:sz="4" w:space="0"/>
            </w:tcBorders>
          </w:tcPr>
          <w:p w:rsidR="00C24F78" w:rsidP="00366D7F" w:rsidRDefault="00C24F78" w14:paraId="60049282" w14:textId="77777777">
            <w:pPr>
              <w:jc w:val="left"/>
            </w:pPr>
          </w:p>
        </w:tc>
      </w:tr>
      <w:tr w:rsidR="00C24F78" w:rsidTr="00C24F78" w14:paraId="47D9BA92" w14:textId="2A756C41">
        <w:tc>
          <w:tcPr>
            <w:tcW w:w="742" w:type="pct"/>
            <w:tcBorders>
              <w:top w:val="single" w:color="auto" w:sz="4" w:space="0"/>
              <w:left w:val="single" w:color="auto" w:sz="4" w:space="0"/>
              <w:bottom w:val="single" w:color="auto" w:sz="4" w:space="0"/>
              <w:right w:val="single" w:color="auto" w:sz="4" w:space="0"/>
            </w:tcBorders>
          </w:tcPr>
          <w:p w:rsidR="00C24F78" w:rsidP="00366D7F" w:rsidRDefault="00C24F78" w14:paraId="7FCA0EBB" w14:textId="77777777">
            <w:pPr>
              <w:jc w:val="left"/>
            </w:pPr>
          </w:p>
        </w:tc>
        <w:tc>
          <w:tcPr>
            <w:tcW w:w="2129" w:type="pct"/>
            <w:tcBorders>
              <w:top w:val="single" w:color="auto" w:sz="4" w:space="0"/>
              <w:left w:val="single" w:color="auto" w:sz="4" w:space="0"/>
              <w:bottom w:val="single" w:color="auto" w:sz="4" w:space="0"/>
              <w:right w:val="single" w:color="auto" w:sz="4" w:space="0"/>
            </w:tcBorders>
          </w:tcPr>
          <w:p w:rsidR="00C24F78" w:rsidP="00366D7F" w:rsidRDefault="00C24F78" w14:paraId="05A42475" w14:textId="77777777">
            <w:pPr>
              <w:jc w:val="left"/>
            </w:pPr>
          </w:p>
        </w:tc>
        <w:tc>
          <w:tcPr>
            <w:tcW w:w="2129" w:type="pct"/>
            <w:tcBorders>
              <w:top w:val="single" w:color="auto" w:sz="4" w:space="0"/>
              <w:left w:val="single" w:color="auto" w:sz="4" w:space="0"/>
              <w:bottom w:val="single" w:color="auto" w:sz="4" w:space="0"/>
              <w:right w:val="single" w:color="auto" w:sz="4" w:space="0"/>
            </w:tcBorders>
          </w:tcPr>
          <w:p w:rsidR="00C24F78" w:rsidP="00366D7F" w:rsidRDefault="00C24F78" w14:paraId="75C6CA15" w14:textId="77777777">
            <w:pPr>
              <w:jc w:val="left"/>
            </w:pPr>
          </w:p>
        </w:tc>
      </w:tr>
    </w:tbl>
    <w:p w:rsidR="00B202DF" w:rsidP="00B202DF" w:rsidRDefault="00B202DF" w14:paraId="06D75EA4" w14:textId="756954F7">
      <w:pPr>
        <w:pStyle w:val="ssPara1"/>
        <w:numPr>
          <w:ilvl w:val="0"/>
          <w:numId w:val="0"/>
        </w:numPr>
      </w:pPr>
    </w:p>
    <w:p w:rsidRPr="00B94284" w:rsidR="00B94284" w:rsidP="00B202DF" w:rsidRDefault="00B94284" w14:paraId="64ED8D1A" w14:textId="02D78137">
      <w:pPr>
        <w:pStyle w:val="ssPara1"/>
        <w:numPr>
          <w:ilvl w:val="0"/>
          <w:numId w:val="0"/>
        </w:numPr>
      </w:pPr>
      <w:r>
        <w:t>[</w:t>
      </w:r>
      <w:r w:rsidRPr="00892DBD">
        <w:rPr>
          <w:i/>
          <w:iCs/>
          <w:highlight w:val="yellow"/>
        </w:rPr>
        <w:t>Insert statement meeting the requirement in COLL 15.3.6R(6)(2) as regards “…the dealing frequency for sales and redemptions of units in the scheme, and applicable notice period for such redemptions”</w:t>
      </w:r>
      <w:r>
        <w:rPr>
          <w:i/>
          <w:iCs/>
        </w:rPr>
        <w:t>.</w:t>
      </w:r>
      <w:r>
        <w:t>]</w:t>
      </w:r>
      <w:r>
        <w:rPr>
          <w:rStyle w:val="EndnoteReference"/>
        </w:rPr>
        <w:endnoteReference w:id="54"/>
      </w:r>
    </w:p>
    <w:bookmarkEnd w:id="284"/>
    <w:p w:rsidR="00B202DF" w:rsidP="001E0B2F" w:rsidRDefault="00B202DF" w14:paraId="1D8FFBD8" w14:textId="7E94358B">
      <w:pPr>
        <w:pStyle w:val="ssNoHeading1"/>
        <w:numPr>
          <w:ilvl w:val="1"/>
          <w:numId w:val="76"/>
        </w:numPr>
      </w:pPr>
      <w:r>
        <w:t>Subject to and where permitted by the Prospectus</w:t>
      </w:r>
      <w:r>
        <w:rPr>
          <w:snapToGrid w:val="0"/>
        </w:rPr>
        <w:t>, [a Sub-</w:t>
      </w:r>
      <w:r>
        <w:t>Fund] may invest</w:t>
      </w:r>
      <w:r>
        <w:rPr>
          <w:snapToGrid w:val="0"/>
        </w:rPr>
        <w:t xml:space="preserve"> in an overseas immovable through an </w:t>
      </w:r>
      <w:r>
        <w:t>Intermediate Holding Vehicle</w:t>
      </w:r>
      <w:r>
        <w:rPr>
          <w:snapToGrid w:val="0"/>
        </w:rPr>
        <w:t xml:space="preserve"> or a series of </w:t>
      </w:r>
      <w:r>
        <w:t>Intermediate Holding Vehicles. The purpose of such Intermediate Holding Vehicle</w:t>
      </w:r>
      <w:r>
        <w:rPr>
          <w:snapToGrid w:val="0"/>
        </w:rPr>
        <w:t xml:space="preserve"> or series of </w:t>
      </w:r>
      <w:r>
        <w:t>Intermediate Holding Vehicles</w:t>
      </w:r>
      <w:r>
        <w:rPr>
          <w:snapToGrid w:val="0"/>
        </w:rPr>
        <w:t xml:space="preserve"> will be to enable the holding of overseas immovables by the </w:t>
      </w:r>
      <w:r>
        <w:t>Scheme.]</w:t>
      </w:r>
      <w:r>
        <w:rPr>
          <w:rStyle w:val="EndnoteReference"/>
        </w:rPr>
        <w:endnoteReference w:id="55"/>
      </w:r>
    </w:p>
    <w:p w:rsidR="00B202DF" w:rsidP="00B202DF" w:rsidRDefault="00B202DF" w14:paraId="5F1F7139" w14:textId="6016DE52">
      <w:pPr>
        <w:pStyle w:val="ssNoHeading1"/>
        <w:numPr>
          <w:ilvl w:val="0"/>
          <w:numId w:val="0"/>
        </w:numPr>
        <w:tabs>
          <w:tab w:val="left" w:pos="720"/>
        </w:tabs>
        <w:rPr>
          <w:snapToGrid w:val="0"/>
        </w:rPr>
      </w:pPr>
      <w:r>
        <w:t xml:space="preserve">Part 1 </w:t>
      </w:r>
      <w:r>
        <w:rPr>
          <w:snapToGrid w:val="0"/>
        </w:rPr>
        <w:t>of the Schedule dated [</w:t>
      </w:r>
      <w:r w:rsidRPr="00B202DF">
        <w:rPr>
          <w:snapToGrid w:val="0"/>
          <w:highlight w:val="yellow"/>
        </w:rPr>
        <w:t>●</w:t>
      </w:r>
      <w:r>
        <w:rPr>
          <w:snapToGrid w:val="0"/>
        </w:rPr>
        <w:t>].</w:t>
      </w:r>
    </w:p>
    <w:p w:rsidRPr="009F4300" w:rsidR="00F238C5" w:rsidP="00F238C5" w:rsidRDefault="002E0F9A" w14:paraId="2A73FE40" w14:textId="6CDF7199">
      <w:pPr>
        <w:pStyle w:val="ssqPart"/>
        <w:rPr>
          <w:w w:val="0"/>
        </w:rPr>
      </w:pPr>
      <w:bookmarkStart w:name="_Ref117249397" w:id="285"/>
      <w:bookmarkStart w:name="_Ref117249407" w:id="286"/>
      <w:bookmarkStart w:name="_Ref117249468" w:id="287"/>
      <w:bookmarkStart w:name="_Ref117249483" w:id="288"/>
      <w:bookmarkStart w:name="_Toc179391870" w:id="289"/>
      <w:r w:rsidRPr="009F4300">
        <w:rPr>
          <w:w w:val="0"/>
        </w:rPr>
        <w:t>: unit classes</w:t>
      </w:r>
      <w:bookmarkEnd w:id="285"/>
      <w:bookmarkEnd w:id="286"/>
      <w:bookmarkEnd w:id="287"/>
      <w:bookmarkEnd w:id="288"/>
      <w:bookmarkEnd w:id="289"/>
    </w:p>
    <w:p w:rsidRPr="009F4300" w:rsidR="00F238C5" w:rsidP="00F238C5" w:rsidRDefault="00F238C5" w14:paraId="26D90129" w14:textId="1FA2250C">
      <w:pPr>
        <w:pStyle w:val="ssRestartNumber"/>
        <w:rPr>
          <w:w w:val="0"/>
        </w:rPr>
      </w:pPr>
    </w:p>
    <w:p w:rsidRPr="009F4300" w:rsidR="00F238C5" w:rsidP="00F238C5" w:rsidRDefault="00F238C5" w14:paraId="369D3B95" w14:textId="7D75544B">
      <w:pPr>
        <w:pStyle w:val="ssPara"/>
      </w:pPr>
      <w:r w:rsidRPr="009F4300">
        <w:rPr>
          <w:w w:val="0"/>
        </w:rPr>
        <w:t>[</w:t>
      </w:r>
      <w:r w:rsidRPr="00892DBD">
        <w:rPr>
          <w:i/>
          <w:iCs/>
          <w:w w:val="0"/>
          <w:highlight w:val="yellow"/>
        </w:rPr>
        <w:t xml:space="preserve">List Unit Classes per </w:t>
      </w:r>
      <w:r w:rsidRPr="00892DBD" w:rsidR="00D30F5C">
        <w:rPr>
          <w:i/>
          <w:iCs/>
          <w:w w:val="0"/>
          <w:highlight w:val="yellow"/>
        </w:rPr>
        <w:t>Sub-Fund</w:t>
      </w:r>
      <w:r w:rsidRPr="00892DBD">
        <w:rPr>
          <w:i/>
          <w:iCs/>
          <w:w w:val="0"/>
          <w:highlight w:val="yellow"/>
        </w:rPr>
        <w:t xml:space="preserve"> and state any differences between the rights of the differing Unit Classes and set out any additional rights</w:t>
      </w:r>
      <w:r w:rsidRPr="009F4300">
        <w:rPr>
          <w:w w:val="0"/>
        </w:rPr>
        <w:t>]</w:t>
      </w:r>
    </w:p>
    <w:p w:rsidRPr="009F4300" w:rsidR="00F238C5" w:rsidP="00F238C5" w:rsidRDefault="00F238C5" w14:paraId="4903A1EA" w14:textId="76344C74">
      <w:pPr>
        <w:pStyle w:val="ssPara"/>
      </w:pPr>
      <w:r w:rsidRPr="009F4300">
        <w:rPr>
          <w:w w:val="0"/>
        </w:rPr>
        <w:t>[</w:t>
      </w:r>
      <w:r w:rsidRPr="00892DBD">
        <w:rPr>
          <w:i/>
          <w:iCs/>
          <w:w w:val="0"/>
          <w:highlight w:val="yellow"/>
        </w:rPr>
        <w:t xml:space="preserve">Unit Classes per </w:t>
      </w:r>
      <w:r w:rsidRPr="00892DBD" w:rsidR="00D30F5C">
        <w:rPr>
          <w:i/>
          <w:iCs/>
          <w:w w:val="0"/>
          <w:highlight w:val="yellow"/>
        </w:rPr>
        <w:t>Sub-Fund</w:t>
      </w:r>
      <w:r w:rsidRPr="00892DBD">
        <w:rPr>
          <w:i/>
          <w:iCs/>
          <w:w w:val="0"/>
          <w:highlight w:val="yellow"/>
        </w:rPr>
        <w:t xml:space="preserve"> may be denominated in different currencies, may bear different charges of whatever nature </w:t>
      </w:r>
      <w:r w:rsidRPr="00892DBD" w:rsidR="00B202DF">
        <w:rPr>
          <w:i/>
          <w:iCs/>
          <w:w w:val="0"/>
          <w:highlight w:val="yellow"/>
        </w:rPr>
        <w:t>e.g.</w:t>
      </w:r>
      <w:r w:rsidRPr="00892DBD">
        <w:rPr>
          <w:i/>
          <w:iCs/>
          <w:w w:val="0"/>
          <w:highlight w:val="yellow"/>
        </w:rPr>
        <w:t xml:space="preserve"> initial, annual, redemption or otherwise), may differ as to limitations on issue and/or redemption (if so, state the basis on which any limited issue or deferred redemption arrangements or limited issue arrangements may apply), and/or as to </w:t>
      </w:r>
      <w:r w:rsidRPr="00892DBD" w:rsidR="0098332D">
        <w:rPr>
          <w:i/>
          <w:iCs/>
          <w:w w:val="0"/>
          <w:highlight w:val="yellow"/>
        </w:rPr>
        <w:t>m</w:t>
      </w:r>
      <w:r w:rsidRPr="00892DBD">
        <w:rPr>
          <w:i/>
          <w:iCs/>
          <w:w w:val="0"/>
          <w:highlight w:val="yellow"/>
        </w:rPr>
        <w:t xml:space="preserve">inimum </w:t>
      </w:r>
      <w:r w:rsidRPr="00892DBD" w:rsidR="0098332D">
        <w:rPr>
          <w:i/>
          <w:iCs/>
          <w:w w:val="0"/>
          <w:highlight w:val="yellow"/>
        </w:rPr>
        <w:t>i</w:t>
      </w:r>
      <w:r w:rsidRPr="00892DBD">
        <w:rPr>
          <w:i/>
          <w:iCs/>
          <w:w w:val="0"/>
          <w:highlight w:val="yellow"/>
        </w:rPr>
        <w:t>nvestment</w:t>
      </w:r>
      <w:r w:rsidRPr="00892DBD" w:rsidR="0092781E">
        <w:rPr>
          <w:i/>
          <w:iCs/>
          <w:w w:val="0"/>
          <w:highlight w:val="yellow"/>
        </w:rPr>
        <w:t xml:space="preserve"> </w:t>
      </w:r>
      <w:r w:rsidRPr="00892DBD" w:rsidR="0098332D">
        <w:rPr>
          <w:i/>
          <w:iCs/>
          <w:w w:val="0"/>
          <w:highlight w:val="yellow"/>
        </w:rPr>
        <w:t>a</w:t>
      </w:r>
      <w:r w:rsidRPr="00892DBD" w:rsidR="0092781E">
        <w:rPr>
          <w:i/>
          <w:iCs/>
          <w:w w:val="0"/>
          <w:highlight w:val="yellow"/>
        </w:rPr>
        <w:t>mounts</w:t>
      </w:r>
      <w:r w:rsidRPr="00892DBD">
        <w:rPr>
          <w:i/>
          <w:iCs/>
          <w:w w:val="0"/>
          <w:highlight w:val="yellow"/>
        </w:rPr>
        <w:t xml:space="preserve"> and/or minimum holding level requirements</w:t>
      </w:r>
      <w:r w:rsidRPr="009F4300">
        <w:rPr>
          <w:w w:val="0"/>
        </w:rPr>
        <w:t>]</w:t>
      </w:r>
    </w:p>
    <w:p w:rsidRPr="009F4300" w:rsidR="00F238C5" w:rsidP="00F238C5" w:rsidRDefault="00F238C5" w14:paraId="2B675F3B" w14:textId="59C9772E">
      <w:pPr>
        <w:pStyle w:val="ssPara"/>
      </w:pPr>
      <w:r w:rsidRPr="009F4300">
        <w:rPr>
          <w:color w:val="000000"/>
          <w:w w:val="0"/>
        </w:rPr>
        <w:t>[</w:t>
      </w:r>
      <w:r w:rsidRPr="00892DBD">
        <w:rPr>
          <w:i/>
          <w:iCs/>
          <w:color w:val="000000"/>
          <w:w w:val="0"/>
          <w:highlight w:val="yellow"/>
        </w:rPr>
        <w:t xml:space="preserve">Set out the basis for the distribution or re-investment of income in respect of any Class of Units in issue of any </w:t>
      </w:r>
      <w:r w:rsidRPr="00892DBD" w:rsidR="00D30F5C">
        <w:rPr>
          <w:i/>
          <w:iCs/>
          <w:color w:val="000000"/>
          <w:w w:val="0"/>
          <w:highlight w:val="yellow"/>
        </w:rPr>
        <w:t>Sub-Fund</w:t>
      </w:r>
      <w:r w:rsidRPr="009F4300">
        <w:rPr>
          <w:color w:val="000000"/>
          <w:w w:val="0"/>
        </w:rPr>
        <w:t>]</w:t>
      </w:r>
    </w:p>
    <w:p w:rsidR="00885391" w:rsidP="00F238C5" w:rsidRDefault="00F238C5" w14:paraId="37BD3061" w14:textId="7A91BBD9">
      <w:pPr>
        <w:pStyle w:val="ssPara"/>
        <w:rPr>
          <w:w w:val="0"/>
        </w:rPr>
      </w:pPr>
      <w:r w:rsidRPr="009F4300">
        <w:rPr>
          <w:w w:val="0"/>
        </w:rPr>
        <w:t>[</w:t>
      </w:r>
      <w:r w:rsidRPr="00892DBD">
        <w:rPr>
          <w:i/>
          <w:iCs/>
          <w:w w:val="0"/>
          <w:highlight w:val="yellow"/>
        </w:rPr>
        <w:t xml:space="preserve">State whether units are </w:t>
      </w:r>
      <w:r w:rsidRPr="00892DBD" w:rsidR="00B202DF">
        <w:rPr>
          <w:i/>
          <w:iCs/>
          <w:w w:val="0"/>
          <w:highlight w:val="yellow"/>
        </w:rPr>
        <w:t>A</w:t>
      </w:r>
      <w:r w:rsidRPr="00892DBD">
        <w:rPr>
          <w:i/>
          <w:iCs/>
          <w:w w:val="0"/>
          <w:highlight w:val="yellow"/>
        </w:rPr>
        <w:t>ccumulation</w:t>
      </w:r>
      <w:r w:rsidRPr="00892DBD" w:rsidR="00B202DF">
        <w:rPr>
          <w:i/>
          <w:iCs/>
          <w:w w:val="0"/>
          <w:highlight w:val="yellow"/>
        </w:rPr>
        <w:t xml:space="preserve"> Units</w:t>
      </w:r>
      <w:r w:rsidRPr="00892DBD">
        <w:rPr>
          <w:i/>
          <w:iCs/>
          <w:w w:val="0"/>
          <w:highlight w:val="yellow"/>
        </w:rPr>
        <w:t xml:space="preserve"> or </w:t>
      </w:r>
      <w:r w:rsidRPr="00892DBD" w:rsidR="00B202DF">
        <w:rPr>
          <w:i/>
          <w:iCs/>
          <w:w w:val="0"/>
          <w:highlight w:val="yellow"/>
        </w:rPr>
        <w:t>I</w:t>
      </w:r>
      <w:r w:rsidRPr="00892DBD">
        <w:rPr>
          <w:i/>
          <w:iCs/>
          <w:w w:val="0"/>
          <w:highlight w:val="yellow"/>
        </w:rPr>
        <w:t>ncome Units</w:t>
      </w:r>
      <w:r w:rsidRPr="009F4300">
        <w:rPr>
          <w:w w:val="0"/>
        </w:rPr>
        <w:t>]</w:t>
      </w:r>
    </w:p>
    <w:p w:rsidR="00885391" w:rsidRDefault="00885391" w14:paraId="6D0D3878" w14:textId="77777777">
      <w:pPr>
        <w:jc w:val="left"/>
        <w:rPr>
          <w:w w:val="0"/>
        </w:rPr>
      </w:pPr>
      <w:r>
        <w:rPr>
          <w:w w:val="0"/>
        </w:rPr>
        <w:br w:type="page"/>
      </w:r>
    </w:p>
    <w:p w:rsidRPr="009F4300" w:rsidR="00F238C5" w:rsidP="00F238C5" w:rsidRDefault="00F238C5" w14:paraId="6CCB69FB" w14:textId="77777777">
      <w:pPr>
        <w:pStyle w:val="ssPara"/>
      </w:pPr>
    </w:p>
    <w:p w:rsidRPr="009F4300" w:rsidR="00F238C5" w:rsidP="00F238C5" w:rsidRDefault="002E0F9A" w14:paraId="48AFE99E" w14:textId="2024A083">
      <w:pPr>
        <w:pStyle w:val="ssqPart"/>
      </w:pPr>
      <w:bookmarkStart w:name="_DV_M214" w:id="290"/>
      <w:bookmarkStart w:name="_Ref117249567" w:id="291"/>
      <w:bookmarkStart w:name="_Toc179391871" w:id="292"/>
      <w:bookmarkEnd w:id="290"/>
      <w:r w:rsidRPr="009F4300">
        <w:t xml:space="preserve">: </w:t>
      </w:r>
      <w:r w:rsidR="00695E22">
        <w:t xml:space="preserve">Proceedings and </w:t>
      </w:r>
      <w:r w:rsidRPr="009F4300">
        <w:t>VOTING AT MEETINGS</w:t>
      </w:r>
      <w:bookmarkEnd w:id="291"/>
      <w:bookmarkEnd w:id="292"/>
    </w:p>
    <w:p w:rsidRPr="00695E22" w:rsidR="00695E22" w:rsidP="00695E22" w:rsidRDefault="00695E22" w14:paraId="0C9BC5D9" w14:textId="6164F404">
      <w:pPr>
        <w:pStyle w:val="ssNoHeading1"/>
        <w:rPr>
          <w:b/>
          <w:bCs w:val="0"/>
        </w:rPr>
      </w:pPr>
      <w:bookmarkStart w:name="_DV_M215" w:id="293"/>
      <w:bookmarkEnd w:id="293"/>
      <w:r w:rsidRPr="00695E22">
        <w:rPr>
          <w:b/>
          <w:bCs w:val="0"/>
        </w:rPr>
        <w:t xml:space="preserve">Proceedings at </w:t>
      </w:r>
      <w:r>
        <w:rPr>
          <w:b/>
          <w:bCs w:val="0"/>
        </w:rPr>
        <w:t>General Meetings</w:t>
      </w:r>
    </w:p>
    <w:p w:rsidR="00695E22" w:rsidP="00695E22" w:rsidRDefault="00695E22" w14:paraId="159FFBFE" w14:textId="64E8EAF7">
      <w:pPr>
        <w:pStyle w:val="ssNoHeading2"/>
      </w:pPr>
      <w:r>
        <w:t xml:space="preserve">The provisions of this Deed relating to proceedings at meetings shall apply equally to a meeting </w:t>
      </w:r>
      <w:r w:rsidR="00B03B0C">
        <w:t>[</w:t>
      </w:r>
      <w:r>
        <w:t>of holders of Units of a Sub-Fund and to a meeting of holders of Units of a particular Class of Units of a Sub-Fund or</w:t>
      </w:r>
      <w:r w:rsidR="00B03B0C">
        <w:t>]</w:t>
      </w:r>
      <w:r w:rsidRPr="006A3C27" w:rsidR="00B03B0C">
        <w:rPr>
          <w:vertAlign w:val="superscript"/>
        </w:rPr>
        <w:t>2</w:t>
      </w:r>
      <w:r>
        <w:t xml:space="preserve"> of a particular Class of Units of the Scheme as they apply to a general meeting of the Scheme. References in this Deed to a “general meeting” shall mean, according to the context, the appropriate type of meeting of Unitholders. </w:t>
      </w:r>
    </w:p>
    <w:p w:rsidR="00695E22" w:rsidP="00695E22" w:rsidRDefault="00695E22" w14:paraId="3592EBA2" w14:textId="4D2DE71E">
      <w:pPr>
        <w:pStyle w:val="ssNoHeading2"/>
      </w:pPr>
      <w:r>
        <w:t>General meetings shall be convened and adjourned, and their proceedings and resolutions shall be governed, in accordance with the FCA Rules and the provisions of this Deed.</w:t>
      </w:r>
    </w:p>
    <w:p w:rsidR="00695E22" w:rsidP="00695E22" w:rsidRDefault="00695E22" w14:paraId="60666DB5" w14:textId="64C2FDE3">
      <w:pPr>
        <w:pStyle w:val="ssNoHeading2"/>
      </w:pPr>
      <w:r>
        <w:t>Prior to each general meeting, the Depositary shall nominate an individual to act as chair, and if that individual is not present within [</w:t>
      </w:r>
      <w:r w:rsidRPr="00237770">
        <w:t>fifteen</w:t>
      </w:r>
      <w:r>
        <w:t>]/[</w:t>
      </w:r>
      <w:r w:rsidRPr="00237770">
        <w:t>five</w:t>
      </w:r>
      <w:r>
        <w:t>] minutes (which shall be deemed to be a reasonable time) after the time fixed for the start of the meeting or is not willing and able to act, the Unitholders present must choose one of their number to be chair of the meeting.</w:t>
      </w:r>
    </w:p>
    <w:p w:rsidR="00695E22" w:rsidP="00695E22" w:rsidRDefault="00695E22" w14:paraId="548B9A03" w14:textId="48812424">
      <w:pPr>
        <w:pStyle w:val="ssNoHeading2"/>
      </w:pPr>
      <w:r w:rsidRPr="00267ABB">
        <w:t xml:space="preserve">No business may be transacted at a general meeting unless a quorum is present.  The absence of a quorum does not prevent the appointment of a chair in accordance with this </w:t>
      </w:r>
      <w:r>
        <w:t>Deed</w:t>
      </w:r>
      <w:r w:rsidRPr="00267ABB">
        <w:t xml:space="preserve">, which shall not be treated as part of the business of the meeting.  The quorum required to conduct business at a general meeting is two </w:t>
      </w:r>
      <w:r>
        <w:t>Unit</w:t>
      </w:r>
      <w:r w:rsidRPr="00267ABB">
        <w:t>holders, present in person or by proxy.</w:t>
      </w:r>
    </w:p>
    <w:p w:rsidRPr="00267ABB" w:rsidR="00695E22" w:rsidP="00695E22" w:rsidRDefault="00695E22" w14:paraId="0AA03617" w14:textId="1A81E349">
      <w:pPr>
        <w:pStyle w:val="ssNoHeading2"/>
      </w:pPr>
      <w:bookmarkStart w:name="_Ref116304860" w:id="294"/>
      <w:r w:rsidRPr="00267ABB">
        <w:t xml:space="preserve">If a quorum is not present within </w:t>
      </w:r>
      <w:r>
        <w:t>[</w:t>
      </w:r>
      <w:r w:rsidRPr="00237770">
        <w:t>fifteen</w:t>
      </w:r>
      <w:r>
        <w:t>]/[</w:t>
      </w:r>
      <w:r w:rsidRPr="00237770">
        <w:t>five</w:t>
      </w:r>
      <w:r>
        <w:t xml:space="preserve">] </w:t>
      </w:r>
      <w:r w:rsidRPr="00267ABB">
        <w:t xml:space="preserve">minutes (which shall be deemed to be a reasonable time) after the time fixed for the start of the meeting or if there is no longer a quorum present at any time during the meeting, the meeting, if convened on the requisition of </w:t>
      </w:r>
      <w:r>
        <w:t>Unitholders</w:t>
      </w:r>
      <w:r w:rsidRPr="00267ABB">
        <w:t xml:space="preserve">, is dissolved.  In any other case it stands adjourned to such other day and time (being not less than seven nor more than 28 days after the day and time for the meeting) and place as the chair decides.  If at an adjourned meeting under this </w:t>
      </w:r>
      <w:r w:rsidR="00C51A3E">
        <w:t xml:space="preserve">paragraph </w:t>
      </w:r>
      <w:r w:rsidR="00C51A3E">
        <w:rPr>
          <w:highlight w:val="yellow"/>
        </w:rPr>
        <w:fldChar w:fldCharType="begin"/>
      </w:r>
      <w:r w:rsidR="00C51A3E">
        <w:instrText xml:space="preserve"> REF _Ref116304860 \r \h </w:instrText>
      </w:r>
      <w:r w:rsidR="00C51A3E">
        <w:rPr>
          <w:highlight w:val="yellow"/>
        </w:rPr>
      </w:r>
      <w:r w:rsidR="00C51A3E">
        <w:rPr>
          <w:highlight w:val="yellow"/>
        </w:rPr>
        <w:fldChar w:fldCharType="separate"/>
      </w:r>
      <w:r w:rsidR="00663122">
        <w:rPr>
          <w:cs/>
        </w:rPr>
        <w:t>‎</w:t>
      </w:r>
      <w:r w:rsidR="00663122">
        <w:t>1.5</w:t>
      </w:r>
      <w:r w:rsidR="00C51A3E">
        <w:rPr>
          <w:highlight w:val="yellow"/>
        </w:rPr>
        <w:fldChar w:fldCharType="end"/>
      </w:r>
      <w:r w:rsidRPr="00267ABB">
        <w:t xml:space="preserve"> a quorum is not present within </w:t>
      </w:r>
      <w:r>
        <w:t>[</w:t>
      </w:r>
      <w:r w:rsidRPr="00237770">
        <w:t>fifteen</w:t>
      </w:r>
      <w:r>
        <w:t>]/[</w:t>
      </w:r>
      <w:r w:rsidRPr="00237770">
        <w:t>five</w:t>
      </w:r>
      <w:r>
        <w:t xml:space="preserve">] </w:t>
      </w:r>
      <w:r w:rsidRPr="00267ABB">
        <w:t>minutes (which shall be deemed to be a reasonable time) after the time fixed for the start of the meeting, one person entitled to be counted in a quorum shall constitute a quorum and if there is no such person the meeting is dissolved.</w:t>
      </w:r>
      <w:bookmarkEnd w:id="294"/>
    </w:p>
    <w:p w:rsidR="00695E22" w:rsidP="00695E22" w:rsidRDefault="00695E22" w14:paraId="3F47D165" w14:textId="5979F1AF">
      <w:pPr>
        <w:pStyle w:val="ssNoHeading2"/>
      </w:pPr>
      <w:r>
        <w:t>The chair of any general meeting at which a quorum is present may with the consent of the meeting (and shall if so directed by the meeting) adjourn the meeting from time to time (or for an indefinite period) and from place to place, but no business shall be transacted at any adjourned meeting except business which might lawfully have been transacted at the meeting from which the adjournment took place. Where a meeting is adjourned without agreement as to the date, time and place for the adjourned meeting, the date, time and place for the adjourned meeting shall be fixed by the Manager. When a meeting is adjourned for thirty days or more or for an indefinite period, not less than seven days' notice of the adjourned meeting shall be given in like manner as in the case of the original meeting.</w:t>
      </w:r>
    </w:p>
    <w:p w:rsidR="00695E22" w:rsidP="00695E22" w:rsidRDefault="00695E22" w14:paraId="4138DCA5" w14:textId="56E75D33">
      <w:pPr>
        <w:pStyle w:val="ssNoHeading2"/>
      </w:pPr>
      <w:r>
        <w:t>A meeting of Unit</w:t>
      </w:r>
      <w:r w:rsidRPr="00267ABB">
        <w:t>holders</w:t>
      </w:r>
      <w:r>
        <w:t xml:space="preserve"> duly convened and held shall have the power to decide any matter (including, without limitation, the suspension or curtailment of the Manager’s powers) by the passing of the appropriate resolution, subject to: (</w:t>
      </w:r>
      <w:proofErr w:type="spellStart"/>
      <w:r>
        <w:t>i</w:t>
      </w:r>
      <w:proofErr w:type="spellEnd"/>
      <w:r>
        <w:t xml:space="preserve">) the </w:t>
      </w:r>
      <w:r w:rsidRPr="00FD429E">
        <w:t>Regulations</w:t>
      </w:r>
      <w:r>
        <w:t xml:space="preserve">; and (ii) in the case of a Class </w:t>
      </w:r>
      <w:r w:rsidR="004321DB">
        <w:t xml:space="preserve">Meeting </w:t>
      </w:r>
      <w:r w:rsidR="00B03B0C">
        <w:t>[</w:t>
      </w:r>
      <w:r>
        <w:t>or Sub-Fund meeting</w:t>
      </w:r>
      <w:r w:rsidR="00B03B0C">
        <w:t>]</w:t>
      </w:r>
      <w:r w:rsidRPr="006A3C27" w:rsidR="00B03B0C">
        <w:rPr>
          <w:vertAlign w:val="superscript"/>
        </w:rPr>
        <w:t>2</w:t>
      </w:r>
      <w:r>
        <w:t>, any rights in relation to the matter in question which Unit</w:t>
      </w:r>
      <w:r w:rsidRPr="00267ABB">
        <w:t>holders</w:t>
      </w:r>
      <w:r>
        <w:t xml:space="preserve"> of other Classes </w:t>
      </w:r>
      <w:r w:rsidR="00B03B0C">
        <w:t>[</w:t>
      </w:r>
      <w:r>
        <w:t>or Sub-Funds</w:t>
      </w:r>
      <w:r w:rsidR="00B03B0C">
        <w:t>]</w:t>
      </w:r>
      <w:r w:rsidRPr="006A3C27" w:rsidR="00B03B0C">
        <w:rPr>
          <w:vertAlign w:val="superscript"/>
        </w:rPr>
        <w:t>2</w:t>
      </w:r>
      <w:r>
        <w:t xml:space="preserve"> may have.</w:t>
      </w:r>
    </w:p>
    <w:p w:rsidR="00695E22" w:rsidP="00695E22" w:rsidRDefault="00695E22" w14:paraId="3D756E53" w14:textId="44552350">
      <w:pPr>
        <w:pStyle w:val="ssNoHeading2"/>
      </w:pPr>
      <w:r>
        <w:lastRenderedPageBreak/>
        <w:t xml:space="preserve">The Depositary shall be entitled to appoint a representative to attend and speak on its behalf at each </w:t>
      </w:r>
      <w:r w:rsidR="00237770">
        <w:t>meeting and</w:t>
      </w:r>
      <w:r>
        <w:t xml:space="preserve"> shall be entitled to convene such a meeting. In addition to its rights under the Regulations, the Depositary shall be entitled to receive notices of, and other communications relating to, any general meetings of the Scheme</w:t>
      </w:r>
      <w:r w:rsidR="00B03B0C">
        <w:t>[</w:t>
      </w:r>
      <w:r>
        <w:t>, a meeting of those holding Units of a particular Class of Units of a Sub-Fund</w:t>
      </w:r>
      <w:r w:rsidR="00B03B0C">
        <w:t>]</w:t>
      </w:r>
      <w:r w:rsidRPr="006A3C27" w:rsidR="00B03B0C">
        <w:rPr>
          <w:vertAlign w:val="superscript"/>
        </w:rPr>
        <w:t>2</w:t>
      </w:r>
      <w:r>
        <w:t xml:space="preserve"> or a particular Class of Units of the Scheme.</w:t>
      </w:r>
    </w:p>
    <w:p w:rsidR="00695E22" w:rsidP="00695E22" w:rsidRDefault="00695E22" w14:paraId="5D162B76" w14:textId="680FB4F0">
      <w:pPr>
        <w:pStyle w:val="ssNoHeading2"/>
      </w:pPr>
      <w:bookmarkStart w:name="_Ref118278892" w:id="295"/>
      <w:r>
        <w:t xml:space="preserve">The chair of a general meeting may take any action they consider appropriate for, for example, the safety of people attending a general meeting, the proper and orderly conduct of the general meeting or in order to reflect the wishes of the majority. They may, for example, require any people to prove who they are, carry out security searches, and stop certain things being taken into the meeting. The chair may on reasonable grounds refuse to allow any person into a meeting, or may arrange for any person who refuses to comply with any reasonable requirements imposed under this </w:t>
      </w:r>
      <w:r w:rsidR="00C51A3E">
        <w:t xml:space="preserve">paragraph </w:t>
      </w:r>
      <w:r w:rsidR="00C51A3E">
        <w:rPr>
          <w:highlight w:val="yellow"/>
        </w:rPr>
        <w:fldChar w:fldCharType="begin"/>
      </w:r>
      <w:r w:rsidR="00C51A3E">
        <w:instrText xml:space="preserve"> REF _Ref118278892 \r \h </w:instrText>
      </w:r>
      <w:r w:rsidR="00C51A3E">
        <w:rPr>
          <w:highlight w:val="yellow"/>
        </w:rPr>
      </w:r>
      <w:r w:rsidR="00C51A3E">
        <w:rPr>
          <w:highlight w:val="yellow"/>
        </w:rPr>
        <w:fldChar w:fldCharType="separate"/>
      </w:r>
      <w:r w:rsidR="00663122">
        <w:rPr>
          <w:cs/>
        </w:rPr>
        <w:t>‎</w:t>
      </w:r>
      <w:r w:rsidR="00663122">
        <w:t>1.9</w:t>
      </w:r>
      <w:r w:rsidR="00C51A3E">
        <w:rPr>
          <w:highlight w:val="yellow"/>
        </w:rPr>
        <w:fldChar w:fldCharType="end"/>
      </w:r>
      <w:r>
        <w:t xml:space="preserve"> to be removed from a meeting. The Manager may arrange for any people whom they consider cannot be seated in the main meeting room (where the chair will be) to attend and take part in a general meeting in an overflow room or rooms. Any overflow room will have a live video link from the main room, and a two way sound link. The notice of the meeting need not give details of any arrangements under this </w:t>
      </w:r>
      <w:r w:rsidR="00C51A3E">
        <w:t xml:space="preserve">paragraph </w:t>
      </w:r>
      <w:r w:rsidR="00C51A3E">
        <w:rPr>
          <w:highlight w:val="yellow"/>
        </w:rPr>
        <w:fldChar w:fldCharType="begin"/>
      </w:r>
      <w:r w:rsidR="00C51A3E">
        <w:instrText xml:space="preserve"> REF _Ref118278892 \r \h </w:instrText>
      </w:r>
      <w:r w:rsidR="00C51A3E">
        <w:rPr>
          <w:highlight w:val="yellow"/>
        </w:rPr>
      </w:r>
      <w:r w:rsidR="00C51A3E">
        <w:rPr>
          <w:highlight w:val="yellow"/>
        </w:rPr>
        <w:fldChar w:fldCharType="separate"/>
      </w:r>
      <w:r w:rsidR="00663122">
        <w:rPr>
          <w:cs/>
        </w:rPr>
        <w:t>‎</w:t>
      </w:r>
      <w:r w:rsidR="00663122">
        <w:t>1.9</w:t>
      </w:r>
      <w:r w:rsidR="00C51A3E">
        <w:rPr>
          <w:highlight w:val="yellow"/>
        </w:rPr>
        <w:fldChar w:fldCharType="end"/>
      </w:r>
      <w:r>
        <w:t>. The Manager may decide how to divide people between the main room and any overflow room. If any overflow room is used, the meeting will be treated as being held, and taking place, in the main room.</w:t>
      </w:r>
      <w:bookmarkEnd w:id="295"/>
    </w:p>
    <w:p w:rsidR="00695E22" w:rsidP="00695E22" w:rsidRDefault="00695E22" w14:paraId="368E2862" w14:textId="707B36BF">
      <w:pPr>
        <w:pStyle w:val="ssNoHeading2"/>
      </w:pPr>
      <w:r>
        <w:t xml:space="preserve">A resolution put to the vote of a general meeting of the Scheme or any </w:t>
      </w:r>
      <w:r w:rsidR="00B03B0C">
        <w:t>[</w:t>
      </w:r>
      <w:r>
        <w:t>Sub-Fund or</w:t>
      </w:r>
      <w:r w:rsidR="00B03B0C">
        <w:t>]</w:t>
      </w:r>
      <w:r w:rsidRPr="006A3C27" w:rsidR="00B03B0C">
        <w:rPr>
          <w:vertAlign w:val="superscript"/>
        </w:rPr>
        <w:t>2</w:t>
      </w:r>
      <w:r>
        <w:t xml:space="preserve"> Class must be decided on a show of hands unless a poll is (before or on the declaration of the result of the show of hands) demanded by:</w:t>
      </w:r>
    </w:p>
    <w:p w:rsidRPr="00A37E27" w:rsidR="00695E22" w:rsidP="00695E22" w:rsidRDefault="00695E22" w14:paraId="06AFFB44" w14:textId="77777777">
      <w:pPr>
        <w:pStyle w:val="Heading3"/>
        <w:rPr>
          <w:b w:val="0"/>
          <w:bCs w:val="0"/>
        </w:rPr>
      </w:pPr>
      <w:r w:rsidRPr="00A37E27">
        <w:rPr>
          <w:b w:val="0"/>
          <w:bCs w:val="0"/>
        </w:rPr>
        <w:t xml:space="preserve">the chair of the meeting; </w:t>
      </w:r>
    </w:p>
    <w:p w:rsidRPr="00A37E27" w:rsidR="00695E22" w:rsidP="00695E22" w:rsidRDefault="00695E22" w14:paraId="28471401" w14:textId="6B9BD6BD">
      <w:pPr>
        <w:pStyle w:val="Heading3"/>
        <w:rPr>
          <w:b w:val="0"/>
          <w:bCs w:val="0"/>
        </w:rPr>
      </w:pPr>
      <w:r w:rsidRPr="00A37E27">
        <w:rPr>
          <w:b w:val="0"/>
          <w:bCs w:val="0"/>
        </w:rPr>
        <w:t xml:space="preserve">not less than two </w:t>
      </w:r>
      <w:r>
        <w:rPr>
          <w:b w:val="0"/>
          <w:bCs w:val="0"/>
        </w:rPr>
        <w:t>Unit</w:t>
      </w:r>
      <w:r w:rsidRPr="00A37E27">
        <w:rPr>
          <w:b w:val="0"/>
          <w:bCs w:val="0"/>
        </w:rPr>
        <w:t>holders; or</w:t>
      </w:r>
    </w:p>
    <w:p w:rsidRPr="00A37E27" w:rsidR="00695E22" w:rsidP="00695E22" w:rsidRDefault="00695E22" w14:paraId="49D73BF6" w14:textId="77777777">
      <w:pPr>
        <w:pStyle w:val="Heading3"/>
        <w:rPr>
          <w:b w:val="0"/>
          <w:bCs w:val="0"/>
        </w:rPr>
      </w:pPr>
      <w:r w:rsidRPr="00A37E27">
        <w:rPr>
          <w:b w:val="0"/>
          <w:bCs w:val="0"/>
        </w:rPr>
        <w:t xml:space="preserve">the Depositary. </w:t>
      </w:r>
    </w:p>
    <w:p w:rsidR="00695E22" w:rsidP="00695E22" w:rsidRDefault="00695E22" w14:paraId="61241EC9" w14:textId="4F7682E0">
      <w:pPr>
        <w:pStyle w:val="ssNoHeading2"/>
      </w:pPr>
      <w:r>
        <w:t>A demand for a poll: (</w:t>
      </w:r>
      <w:proofErr w:type="spellStart"/>
      <w:r>
        <w:t>i</w:t>
      </w:r>
      <w:proofErr w:type="spellEnd"/>
      <w:r>
        <w:t>) by a proxy shall be deemed to be a demand by the Unitholder appointing the proxy; (ii) may be withdrawn only with the approval of the chair; and (iii) shall not prevent the continuance of the meeting for the transaction of any business other than the question on which the poll has been demanded.</w:t>
      </w:r>
    </w:p>
    <w:p w:rsidR="00695E22" w:rsidP="00695E22" w:rsidRDefault="00695E22" w14:paraId="41BDFDBB" w14:textId="7F793A40">
      <w:pPr>
        <w:pStyle w:val="ssNoHeading2"/>
      </w:pPr>
      <w:r>
        <w:t>The chair must demand a poll if requested to do so by the Manager.</w:t>
      </w:r>
    </w:p>
    <w:p w:rsidR="00695E22" w:rsidP="00695E22" w:rsidRDefault="00695E22" w14:paraId="30BBBA50" w14:textId="77777777">
      <w:pPr>
        <w:pStyle w:val="ssNoHeading2"/>
      </w:pPr>
      <w:r>
        <w:t>A poll demanded by the chair or on a question of adjournment shall be taken immediately.  Any other poll shall be taken either immediately or at such subsequent time (not being more than thirty days from the date of the meeting) and place and in such manner (including by post) as the chair may direct, and no notice need be given of a poll not taken immediately.</w:t>
      </w:r>
    </w:p>
    <w:p w:rsidR="00695E22" w:rsidP="00695E22" w:rsidRDefault="00695E22" w14:paraId="2CE75E90" w14:textId="77777777">
      <w:pPr>
        <w:pStyle w:val="ssNoHeading2"/>
      </w:pPr>
      <w:r>
        <w:t xml:space="preserve">Unless a poll is required, a declaration by the chair of the meeting that a resolution has been carried, or carried unanimously, or by a particular majority, or lost, and an entry to that effect in the minute book or computer record of proceedings, shall be conclusive evidence of that fact without proof of the number or proportion of the votes recorded for or against such resolution. </w:t>
      </w:r>
    </w:p>
    <w:p w:rsidRPr="00EC2CA6" w:rsidR="00695E22" w:rsidP="00695E22" w:rsidRDefault="00695E22" w14:paraId="43238970" w14:textId="77777777">
      <w:pPr>
        <w:pStyle w:val="ssNoHeading2"/>
      </w:pPr>
      <w:r>
        <w:t xml:space="preserve">Where a poll is taken, it shall be taken in such a manner (including the use of ballot papers or electronic or computer voting systems) as the chair may direct and the result of the poll shall be deemed to be the resolution of the meeting at which the poll was demanded.  The chair may (and, if so directed by the meeting, shall) appoint scrutineers and may adjourn </w:t>
      </w:r>
      <w:r>
        <w:lastRenderedPageBreak/>
        <w:t>the meeting to some place and time fixed by the chair for the purpose of declaring the result of the poll.</w:t>
      </w:r>
    </w:p>
    <w:p w:rsidR="00695E22" w:rsidP="00695E22" w:rsidRDefault="00695E22" w14:paraId="2AFBFD5A" w14:textId="77777777">
      <w:pPr>
        <w:pStyle w:val="Heading1"/>
      </w:pPr>
      <w:bookmarkStart w:name="_Toc80522070" w:id="296"/>
      <w:bookmarkStart w:name="_Toc116651814" w:id="297"/>
      <w:bookmarkStart w:name="_Toc118281820" w:id="298"/>
      <w:bookmarkStart w:name="_Toc121992599" w:id="299"/>
      <w:bookmarkStart w:name="_Toc153961393" w:id="300"/>
      <w:bookmarkStart w:name="_Toc160053162" w:id="301"/>
      <w:bookmarkStart w:name="_Toc179390700" w:id="302"/>
      <w:bookmarkStart w:name="_Toc179391872" w:id="303"/>
      <w:r>
        <w:t xml:space="preserve">Voting </w:t>
      </w:r>
      <w:bookmarkEnd w:id="296"/>
      <w:r>
        <w:t>Rights</w:t>
      </w:r>
      <w:r w:rsidRPr="00016C3C">
        <w:rPr>
          <w:rStyle w:val="EndnoteReference"/>
          <w:b w:val="0"/>
          <w:bCs w:val="0"/>
          <w:u w:val="none"/>
        </w:rPr>
        <w:endnoteReference w:id="56"/>
      </w:r>
      <w:bookmarkEnd w:id="297"/>
      <w:bookmarkEnd w:id="298"/>
      <w:bookmarkEnd w:id="299"/>
      <w:bookmarkEnd w:id="300"/>
      <w:bookmarkEnd w:id="301"/>
      <w:bookmarkEnd w:id="302"/>
      <w:bookmarkEnd w:id="303"/>
    </w:p>
    <w:p w:rsidR="00695E22" w:rsidP="00695E22" w:rsidRDefault="00695E22" w14:paraId="203340E3" w14:textId="5712F0A8">
      <w:pPr>
        <w:pStyle w:val="ssNoHeading2"/>
      </w:pPr>
      <w:r>
        <w:t xml:space="preserve">The entitlement to vote at any meeting of the Scheme </w:t>
      </w:r>
      <w:r w:rsidR="00B03B0C">
        <w:t>[</w:t>
      </w:r>
      <w:r>
        <w:t>or a Sub-Fund</w:t>
      </w:r>
      <w:r w:rsidR="00B03B0C">
        <w:t>]</w:t>
      </w:r>
      <w:r w:rsidRPr="006A3C27" w:rsidR="00B03B0C">
        <w:rPr>
          <w:vertAlign w:val="superscript"/>
        </w:rPr>
        <w:t>2</w:t>
      </w:r>
      <w:r>
        <w:t xml:space="preserve"> attaching to each Unit is as set out in the FCA Rules. On a show of hands, every Unitholder who is present in person has one vote. On a poll, votes may be given personally or by proxy or in the manner described in </w:t>
      </w:r>
      <w:r w:rsidR="00C51A3E">
        <w:t xml:space="preserve">paragraph </w:t>
      </w:r>
      <w:r w:rsidR="00C51A3E">
        <w:rPr>
          <w:highlight w:val="yellow"/>
        </w:rPr>
        <w:fldChar w:fldCharType="begin"/>
      </w:r>
      <w:r w:rsidR="00C51A3E">
        <w:instrText xml:space="preserve"> REF _Ref116304579 \r \h </w:instrText>
      </w:r>
      <w:r w:rsidR="00C51A3E">
        <w:rPr>
          <w:highlight w:val="yellow"/>
        </w:rPr>
      </w:r>
      <w:r w:rsidR="00C51A3E">
        <w:rPr>
          <w:highlight w:val="yellow"/>
        </w:rPr>
        <w:fldChar w:fldCharType="separate"/>
      </w:r>
      <w:r w:rsidR="00663122">
        <w:rPr>
          <w:cs/>
        </w:rPr>
        <w:t>‎</w:t>
      </w:r>
      <w:r w:rsidR="00663122">
        <w:t>2.2</w:t>
      </w:r>
      <w:r w:rsidR="00C51A3E">
        <w:rPr>
          <w:highlight w:val="yellow"/>
        </w:rPr>
        <w:fldChar w:fldCharType="end"/>
      </w:r>
      <w:r>
        <w:t xml:space="preserve">. On a poll, the voting rights attached to each Unit shall be such proportion of the voting rights attached to all the Units in issue in the Scheme or </w:t>
      </w:r>
      <w:r w:rsidR="00B03B0C">
        <w:t>[</w:t>
      </w:r>
      <w:r>
        <w:t>any Sub-Fund or</w:t>
      </w:r>
      <w:r w:rsidR="00B03B0C">
        <w:t>]</w:t>
      </w:r>
      <w:r w:rsidRPr="006A3C27" w:rsidR="00B03B0C">
        <w:rPr>
          <w:vertAlign w:val="superscript"/>
        </w:rPr>
        <w:t>2</w:t>
      </w:r>
      <w:r>
        <w:t xml:space="preserve"> Class (as the case may be) as the price of the Unit bears to the aggregate price(s) of all the Units in issue in the Scheme or </w:t>
      </w:r>
      <w:r w:rsidR="00B03B0C">
        <w:t>[</w:t>
      </w:r>
      <w:r>
        <w:t>such Sub-Fund or</w:t>
      </w:r>
      <w:r w:rsidR="00B03B0C">
        <w:t>]</w:t>
      </w:r>
      <w:r w:rsidRPr="006A3C27" w:rsidR="00B03B0C">
        <w:rPr>
          <w:vertAlign w:val="superscript"/>
        </w:rPr>
        <w:t>2</w:t>
      </w:r>
      <w:r>
        <w:t xml:space="preserve"> such Class.</w:t>
      </w:r>
    </w:p>
    <w:p w:rsidR="00695E22" w:rsidP="00695E22" w:rsidRDefault="00695E22" w14:paraId="694CFA1C" w14:textId="039A9768">
      <w:pPr>
        <w:pStyle w:val="ssNoHeading2"/>
      </w:pPr>
      <w:bookmarkStart w:name="_Ref116304579" w:id="304"/>
      <w:r>
        <w:t>Where a deputy or other person (by whatever name called) has been appointed by a court of competent jurisdiction to exercise powers with respect to the property or affairs of any Unitholder on the ground (however formulated) of that Unitholder’s lack of mental capacity, the Manager may, in its absolute discretion and upon or subject to production of such evidence of the appointment as the Manager may require, permit such deputy or other person (on behalf of that Unitholder) to: (</w:t>
      </w:r>
      <w:proofErr w:type="spellStart"/>
      <w:r>
        <w:t>i</w:t>
      </w:r>
      <w:proofErr w:type="spellEnd"/>
      <w:r>
        <w:t xml:space="preserve">) vote on a poll in person or by proxy at any general meeting of the Scheme or any </w:t>
      </w:r>
      <w:r w:rsidR="00B03B0C">
        <w:t>[</w:t>
      </w:r>
      <w:r>
        <w:t>Sub-Fund or</w:t>
      </w:r>
      <w:r w:rsidR="00B03B0C">
        <w:t>]</w:t>
      </w:r>
      <w:r w:rsidRPr="006A3C27" w:rsidR="00B03B0C">
        <w:rPr>
          <w:vertAlign w:val="superscript"/>
        </w:rPr>
        <w:t>2</w:t>
      </w:r>
      <w:r>
        <w:t xml:space="preserve"> Class; and/or (ii) exercise any right conferred by ownership of Units in relation to such a meeting (other than the right to vote on a show of hands).</w:t>
      </w:r>
      <w:bookmarkEnd w:id="304"/>
    </w:p>
    <w:p w:rsidRPr="0020008E" w:rsidR="00695E22" w:rsidP="00695E22" w:rsidRDefault="00695E22" w14:paraId="49240679" w14:textId="77777777">
      <w:pPr>
        <w:pStyle w:val="ssNoHeading2"/>
      </w:pPr>
      <w:r>
        <w:t>No objection shall be raised as to the admissibility of any vote except at the meeting or adjourned meeting at which the vote objected to is or may be given or tendered and every vote not disallowed at such meeting shall be valid for all purposes.  Any such objection shall be referred to the chair of the meeting whose decision shall be final and conclusive.</w:t>
      </w:r>
    </w:p>
    <w:p w:rsidR="00695E22" w:rsidP="00695E22" w:rsidRDefault="00695E22" w14:paraId="1762C7E9" w14:textId="77777777">
      <w:pPr>
        <w:pStyle w:val="Heading1"/>
      </w:pPr>
      <w:bookmarkStart w:name="_Toc80522071" w:id="305"/>
      <w:bookmarkStart w:name="_Toc116651815" w:id="306"/>
      <w:bookmarkStart w:name="_Toc118281821" w:id="307"/>
      <w:bookmarkStart w:name="_Toc121992600" w:id="308"/>
      <w:bookmarkStart w:name="_Toc153961394" w:id="309"/>
      <w:bookmarkStart w:name="_Toc160053163" w:id="310"/>
      <w:bookmarkStart w:name="_Toc179390701" w:id="311"/>
      <w:bookmarkStart w:name="_Toc179391873" w:id="312"/>
      <w:r>
        <w:t>Proxies</w:t>
      </w:r>
      <w:bookmarkEnd w:id="305"/>
      <w:bookmarkEnd w:id="306"/>
      <w:bookmarkEnd w:id="307"/>
      <w:bookmarkEnd w:id="308"/>
      <w:bookmarkEnd w:id="309"/>
      <w:bookmarkEnd w:id="310"/>
      <w:bookmarkEnd w:id="311"/>
      <w:bookmarkEnd w:id="312"/>
    </w:p>
    <w:p w:rsidR="00695E22" w:rsidP="00695E22" w:rsidRDefault="00695E22" w14:paraId="439BFBED" w14:textId="67BAAFC6">
      <w:pPr>
        <w:pStyle w:val="ssNoHeading2"/>
      </w:pPr>
      <w:bookmarkStart w:name="_Ref116304507" w:id="313"/>
      <w:r>
        <w:t>An instrument appointing a proxy must be in writing and in a form approved by the Manager. If the appointing Unitholder is an individual, the instrument must be signed by that individual or by his or her attorney.  If the appointing Unitholder is a corporation, the instrument must either be given under the corporation’s common seal or signed on the corporation’s behalf by a person duly authorised by the corporation to do so.</w:t>
      </w:r>
      <w:bookmarkEnd w:id="313"/>
      <w:r>
        <w:t xml:space="preserve">  </w:t>
      </w:r>
    </w:p>
    <w:p w:rsidR="00695E22" w:rsidP="00695E22" w:rsidRDefault="00695E22" w14:paraId="521C9B79" w14:textId="232EC08E">
      <w:pPr>
        <w:pStyle w:val="ssNoHeading2"/>
      </w:pPr>
      <w:r>
        <w:t xml:space="preserve">The signature on such instrument need not be witnessed. Where an instrument appointing a proxy is signed on behalf of the appointing Unitholder by an attorney, the letter or the power of attorney (or a duly certified copy thereof) must be delivered with the instrument appointing the proxy in accordance with the following provisions, otherwise the Manager may in its discretion treat the instrument as invalid. An instrument appointing a proxy and the power of attorney or other authority (if any) may be treated as invalid unless it is delivered: </w:t>
      </w:r>
    </w:p>
    <w:p w:rsidRPr="00A37E27" w:rsidR="00695E22" w:rsidP="00695E22" w:rsidRDefault="00695E22" w14:paraId="2E854BC6" w14:textId="65231382">
      <w:pPr>
        <w:pStyle w:val="Heading3"/>
        <w:rPr>
          <w:b w:val="0"/>
          <w:bCs w:val="0"/>
        </w:rPr>
      </w:pPr>
      <w:r w:rsidRPr="00A37E27">
        <w:rPr>
          <w:b w:val="0"/>
          <w:bCs w:val="0"/>
        </w:rPr>
        <w:t>to either: (</w:t>
      </w:r>
      <w:proofErr w:type="spellStart"/>
      <w:r w:rsidRPr="00A37E27">
        <w:rPr>
          <w:b w:val="0"/>
          <w:bCs w:val="0"/>
        </w:rPr>
        <w:t>i</w:t>
      </w:r>
      <w:proofErr w:type="spellEnd"/>
      <w:r w:rsidRPr="00A37E27">
        <w:rPr>
          <w:b w:val="0"/>
          <w:bCs w:val="0"/>
        </w:rPr>
        <w:t xml:space="preserve">) the place specified for that purpose in (or in any document accompanying) the notice convening the meeting; or (ii) if no such place is specified, the head office of the </w:t>
      </w:r>
      <w:r>
        <w:rPr>
          <w:b w:val="0"/>
          <w:bCs w:val="0"/>
        </w:rPr>
        <w:t>Scheme</w:t>
      </w:r>
      <w:r w:rsidRPr="00A37E27">
        <w:rPr>
          <w:b w:val="0"/>
          <w:bCs w:val="0"/>
        </w:rPr>
        <w:t>; and</w:t>
      </w:r>
    </w:p>
    <w:p w:rsidRPr="00A37E27" w:rsidR="00695E22" w:rsidP="00695E22" w:rsidRDefault="00695E22" w14:paraId="4AB8A41A" w14:textId="77777777">
      <w:pPr>
        <w:pStyle w:val="Heading3"/>
        <w:rPr>
          <w:b w:val="0"/>
          <w:bCs w:val="0"/>
        </w:rPr>
      </w:pPr>
      <w:r w:rsidRPr="00A37E27">
        <w:rPr>
          <w:b w:val="0"/>
          <w:bCs w:val="0"/>
        </w:rPr>
        <w:t xml:space="preserve">by no later than forty-eight hours before the Appointed Time (as defined below). </w:t>
      </w:r>
    </w:p>
    <w:p w:rsidR="00695E22" w:rsidP="00695E22" w:rsidRDefault="00695E22" w14:paraId="287C43A0" w14:textId="3FBA8A4B">
      <w:pPr>
        <w:pStyle w:val="ssNoHeading2"/>
      </w:pPr>
      <w:r>
        <w:t>Unless an instrument appointing a proxy expressly states otherwise, it shall be valid both for the meeting to which it relates and for any adjournment of that meeting. A vote cast by proxy shall not be invalidated by: (</w:t>
      </w:r>
      <w:proofErr w:type="spellStart"/>
      <w:r>
        <w:t>i</w:t>
      </w:r>
      <w:proofErr w:type="spellEnd"/>
      <w:r>
        <w:t xml:space="preserve">) the previous death or bankruptcy of the appointing Unitholder; (ii) any other transfer by operation of law of the title to the Units concerned; (iii) the revocation of the appointment of the proxy; or (iv) the revocation of the authority under </w:t>
      </w:r>
      <w:r>
        <w:lastRenderedPageBreak/>
        <w:t>which the appointment of the proxy was made, provided in each case that the Scheme has not received (at its head office) notice in writing of any such event by the time which is two hours before the Appointed Time (as defined below).</w:t>
      </w:r>
    </w:p>
    <w:p w:rsidR="00885391" w:rsidP="00695E22" w:rsidRDefault="00695E22" w14:paraId="305FCCE2" w14:textId="7C6746CD">
      <w:pPr>
        <w:pStyle w:val="ssNoHeading2"/>
      </w:pPr>
      <w:bookmarkStart w:name="_Ref116304515" w:id="314"/>
      <w:r>
        <w:t xml:space="preserve">In these </w:t>
      </w:r>
      <w:r w:rsidR="00C51A3E">
        <w:t xml:space="preserve">paragraphs </w:t>
      </w:r>
      <w:r w:rsidR="00C51A3E">
        <w:rPr>
          <w:highlight w:val="yellow"/>
        </w:rPr>
        <w:fldChar w:fldCharType="begin"/>
      </w:r>
      <w:r w:rsidR="00C51A3E">
        <w:instrText xml:space="preserve"> REF _Ref116304507 \r \h </w:instrText>
      </w:r>
      <w:r w:rsidR="00C51A3E">
        <w:rPr>
          <w:highlight w:val="yellow"/>
        </w:rPr>
      </w:r>
      <w:r w:rsidR="00C51A3E">
        <w:rPr>
          <w:highlight w:val="yellow"/>
        </w:rPr>
        <w:fldChar w:fldCharType="separate"/>
      </w:r>
      <w:r w:rsidR="00663122">
        <w:rPr>
          <w:cs/>
        </w:rPr>
        <w:t>‎</w:t>
      </w:r>
      <w:r w:rsidR="00663122">
        <w:t>3.1</w:t>
      </w:r>
      <w:r w:rsidR="00C51A3E">
        <w:rPr>
          <w:highlight w:val="yellow"/>
        </w:rPr>
        <w:fldChar w:fldCharType="end"/>
      </w:r>
      <w:r w:rsidRPr="00C51A3E" w:rsidR="00C51A3E">
        <w:t xml:space="preserve"> to </w:t>
      </w:r>
      <w:r w:rsidRPr="00C51A3E" w:rsidR="00C51A3E">
        <w:fldChar w:fldCharType="begin"/>
      </w:r>
      <w:r w:rsidRPr="00C51A3E" w:rsidR="00C51A3E">
        <w:instrText xml:space="preserve"> REF _Ref116304515 \r \h </w:instrText>
      </w:r>
      <w:r w:rsidR="00C51A3E">
        <w:instrText xml:space="preserve"> \* MERGEFORMAT </w:instrText>
      </w:r>
      <w:r w:rsidRPr="00C51A3E" w:rsidR="00C51A3E">
        <w:fldChar w:fldCharType="separate"/>
      </w:r>
      <w:r w:rsidR="00663122">
        <w:rPr>
          <w:cs/>
        </w:rPr>
        <w:t>‎</w:t>
      </w:r>
      <w:r w:rsidR="00663122">
        <w:t>3.4</w:t>
      </w:r>
      <w:r w:rsidRPr="00C51A3E" w:rsidR="00C51A3E">
        <w:fldChar w:fldCharType="end"/>
      </w:r>
      <w:r>
        <w:t>, the “</w:t>
      </w:r>
      <w:r w:rsidRPr="00A37E27">
        <w:rPr>
          <w:b/>
          <w:bCs w:val="0"/>
        </w:rPr>
        <w:t>Appointed Time</w:t>
      </w:r>
      <w:r>
        <w:t>” is the time appointed for the holding of the meeting or adjourned meeting in question except that, in the case of a poll taken otherwise than at (or on the same day as) such a meeting, it is the time appointed for the taking of the poll.</w:t>
      </w:r>
      <w:bookmarkEnd w:id="314"/>
    </w:p>
    <w:p w:rsidR="007550BE" w:rsidP="007550BE" w:rsidRDefault="007550BE" w14:paraId="56C45ED6" w14:textId="5639FAED">
      <w:pPr>
        <w:pStyle w:val="Heading1"/>
      </w:pPr>
      <w:bookmarkStart w:name="_Toc153961395" w:id="315"/>
      <w:bookmarkStart w:name="_Toc160053164" w:id="316"/>
      <w:bookmarkStart w:name="_Toc179390702" w:id="317"/>
      <w:bookmarkStart w:name="_Toc179391874" w:id="318"/>
      <w:r w:rsidRPr="007550BE">
        <w:t>Corporation Voting by Representatives</w:t>
      </w:r>
      <w:bookmarkEnd w:id="315"/>
      <w:bookmarkEnd w:id="316"/>
      <w:bookmarkEnd w:id="317"/>
      <w:bookmarkEnd w:id="318"/>
    </w:p>
    <w:p w:rsidRPr="009A3609" w:rsidR="007550BE" w:rsidP="006F7E70" w:rsidRDefault="007550BE" w14:paraId="095C4CB6" w14:textId="4EA7F6AA">
      <w:pPr>
        <w:pStyle w:val="ssPara1"/>
      </w:pPr>
      <w:r w:rsidRPr="007550BE">
        <w:rPr>
          <w:lang w:eastAsia="en-GB"/>
        </w:rPr>
        <w:t>Any corporation which is a Unitholder may by resolution of the directors or other governing</w:t>
      </w:r>
      <w:r w:rsidR="00FC7533">
        <w:rPr>
          <w:lang w:eastAsia="en-GB"/>
        </w:rPr>
        <w:t xml:space="preserve"> </w:t>
      </w:r>
      <w:r w:rsidRPr="007550BE">
        <w:rPr>
          <w:lang w:eastAsia="en-GB"/>
        </w:rPr>
        <w:t>body of such corporation and in respect of any Unit or Units in the Scheme of which it is</w:t>
      </w:r>
      <w:r>
        <w:rPr>
          <w:lang w:eastAsia="en-GB"/>
        </w:rPr>
        <w:t xml:space="preserve"> </w:t>
      </w:r>
      <w:r w:rsidRPr="007550BE">
        <w:rPr>
          <w:lang w:eastAsia="en-GB"/>
        </w:rPr>
        <w:t>the Unitholder authorise such individual as it thinks fit to act as its representative at any</w:t>
      </w:r>
      <w:r>
        <w:rPr>
          <w:lang w:eastAsia="en-GB"/>
        </w:rPr>
        <w:t xml:space="preserve"> </w:t>
      </w:r>
      <w:r w:rsidRPr="007550BE">
        <w:rPr>
          <w:lang w:eastAsia="en-GB"/>
        </w:rPr>
        <w:t xml:space="preserve">general meeting of the Unitholders or of any Class </w:t>
      </w:r>
      <w:r w:rsidR="005A54C9">
        <w:rPr>
          <w:lang w:eastAsia="en-GB"/>
        </w:rPr>
        <w:t>M</w:t>
      </w:r>
      <w:r w:rsidRPr="007550BE">
        <w:rPr>
          <w:lang w:eastAsia="en-GB"/>
        </w:rPr>
        <w:t>eeting. The individual so authorised</w:t>
      </w:r>
      <w:r>
        <w:rPr>
          <w:lang w:eastAsia="en-GB"/>
        </w:rPr>
        <w:t xml:space="preserve"> </w:t>
      </w:r>
      <w:r w:rsidRPr="007550BE">
        <w:rPr>
          <w:lang w:eastAsia="en-GB"/>
        </w:rPr>
        <w:t>shall be entitled to exercise the same powers on behalf of such corporation as the</w:t>
      </w:r>
      <w:r>
        <w:rPr>
          <w:lang w:eastAsia="en-GB"/>
        </w:rPr>
        <w:t xml:space="preserve"> </w:t>
      </w:r>
      <w:r w:rsidRPr="007550BE">
        <w:rPr>
          <w:lang w:eastAsia="en-GB"/>
        </w:rPr>
        <w:t>corporation could exercise in respect of such Unit or Units if it were an individual</w:t>
      </w:r>
      <w:r>
        <w:rPr>
          <w:lang w:eastAsia="en-GB"/>
        </w:rPr>
        <w:t xml:space="preserve"> </w:t>
      </w:r>
      <w:r w:rsidRPr="007550BE">
        <w:rPr>
          <w:lang w:eastAsia="en-GB"/>
        </w:rPr>
        <w:t>Unitholder in the Scheme and such corporation shall for the purposes of this Deed be</w:t>
      </w:r>
      <w:r>
        <w:rPr>
          <w:lang w:eastAsia="en-GB"/>
        </w:rPr>
        <w:t xml:space="preserve"> </w:t>
      </w:r>
      <w:r w:rsidRPr="007550BE">
        <w:rPr>
          <w:lang w:eastAsia="en-GB"/>
        </w:rPr>
        <w:t>deemed to be present in person at any such meeting if an individual so authorised is so</w:t>
      </w:r>
      <w:r>
        <w:rPr>
          <w:lang w:eastAsia="en-GB"/>
        </w:rPr>
        <w:t xml:space="preserve"> present.</w:t>
      </w:r>
    </w:p>
    <w:p w:rsidR="00885391" w:rsidRDefault="00885391" w14:paraId="62234A46" w14:textId="77777777">
      <w:pPr>
        <w:jc w:val="left"/>
        <w:rPr>
          <w:rFonts w:eastAsia="MingLiU" w:cs="Times New Roman"/>
          <w:bCs/>
          <w:w w:val="0"/>
          <w:kern w:val="32"/>
          <w:szCs w:val="28"/>
          <w:lang w:eastAsia="en-GB"/>
        </w:rPr>
      </w:pPr>
      <w:r>
        <w:rPr>
          <w:w w:val="0"/>
        </w:rPr>
        <w:br w:type="page"/>
      </w:r>
    </w:p>
    <w:p w:rsidR="00F238C5" w:rsidP="00F238C5" w:rsidRDefault="002E0F9A" w14:paraId="3F6B980E" w14:textId="01F653B3">
      <w:pPr>
        <w:pStyle w:val="ssqPart"/>
        <w:rPr>
          <w:w w:val="0"/>
        </w:rPr>
      </w:pPr>
      <w:bookmarkStart w:name="_DV_M227" w:id="319"/>
      <w:bookmarkStart w:name="_Ref117249360" w:id="320"/>
      <w:bookmarkStart w:name="_Ref117249429" w:id="321"/>
      <w:bookmarkStart w:name="_Ref117249528" w:id="322"/>
      <w:bookmarkStart w:name="_Ref117249581" w:id="323"/>
      <w:bookmarkStart w:name="_Ref117249598" w:id="324"/>
      <w:bookmarkStart w:name="_Ref118276370" w:id="325"/>
      <w:bookmarkStart w:name="_Toc179391875" w:id="326"/>
      <w:bookmarkEnd w:id="319"/>
      <w:r w:rsidRPr="009F4300">
        <w:rPr>
          <w:bCs/>
          <w:w w:val="0"/>
        </w:rPr>
        <w:lastRenderedPageBreak/>
        <w:t xml:space="preserve">: </w:t>
      </w:r>
      <w:r w:rsidR="0041310A">
        <w:rPr>
          <w:bCs/>
          <w:w w:val="0"/>
        </w:rPr>
        <w:t>[</w:t>
      </w:r>
      <w:r w:rsidR="00241A1C">
        <w:rPr>
          <w:bCs/>
          <w:w w:val="0"/>
        </w:rPr>
        <w:t xml:space="preserve">Allocation of </w:t>
      </w:r>
      <w:r w:rsidRPr="009F4300">
        <w:rPr>
          <w:w w:val="0"/>
        </w:rPr>
        <w:t>Rights to Participate in Scheme Property</w:t>
      </w:r>
      <w:bookmarkEnd w:id="320"/>
      <w:bookmarkEnd w:id="321"/>
      <w:bookmarkEnd w:id="322"/>
      <w:bookmarkEnd w:id="323"/>
      <w:bookmarkEnd w:id="324"/>
      <w:r w:rsidR="00241A1C">
        <w:rPr>
          <w:w w:val="0"/>
        </w:rPr>
        <w:t xml:space="preserve"> of a </w:t>
      </w:r>
      <w:r w:rsidR="009B60B7">
        <w:rPr>
          <w:w w:val="0"/>
        </w:rPr>
        <w:t>Sub-</w:t>
      </w:r>
      <w:r w:rsidR="00241A1C">
        <w:rPr>
          <w:w w:val="0"/>
        </w:rPr>
        <w:t>fund</w:t>
      </w:r>
      <w:r w:rsidR="00605E8C">
        <w:rPr>
          <w:w w:val="0"/>
        </w:rPr>
        <w:t>]</w:t>
      </w:r>
      <w:r w:rsidR="00605E8C">
        <w:rPr>
          <w:rStyle w:val="EndnoteReference"/>
        </w:rPr>
        <w:endnoteReference w:id="57"/>
      </w:r>
      <w:bookmarkEnd w:id="325"/>
      <w:bookmarkEnd w:id="326"/>
    </w:p>
    <w:p w:rsidRPr="003B73DB" w:rsidR="001E452D" w:rsidP="001E452D" w:rsidRDefault="001E452D" w14:paraId="5C792CD9" w14:textId="77777777">
      <w:pPr>
        <w:pStyle w:val="ssRestartNumber"/>
        <w:rPr>
          <w:vanish/>
          <w:color w:val="303030" w:themeColor="text1"/>
        </w:rPr>
      </w:pPr>
    </w:p>
    <w:p w:rsidRPr="009F4300" w:rsidR="00F238C5" w:rsidP="00241A1C" w:rsidRDefault="00F238C5" w14:paraId="78852EE1" w14:textId="26092564">
      <w:pPr>
        <w:pStyle w:val="ssNoHeading1"/>
      </w:pPr>
      <w:bookmarkStart w:name="_DV_M228" w:id="327"/>
      <w:bookmarkStart w:name="_DV_M229" w:id="328"/>
      <w:bookmarkEnd w:id="327"/>
      <w:bookmarkEnd w:id="328"/>
      <w:r w:rsidRPr="009F4300">
        <w:rPr>
          <w:w w:val="0"/>
        </w:rPr>
        <w:t xml:space="preserve">If there is more than one Class in issue in a </w:t>
      </w:r>
      <w:r w:rsidR="00D30F5C">
        <w:rPr>
          <w:w w:val="0"/>
        </w:rPr>
        <w:t>Sub-Fund</w:t>
      </w:r>
      <w:r w:rsidRPr="009F4300">
        <w:rPr>
          <w:w w:val="0"/>
        </w:rPr>
        <w:t xml:space="preserve">, the proportionate interests of each Class in the assets and income of each </w:t>
      </w:r>
      <w:r w:rsidR="00D30F5C">
        <w:rPr>
          <w:w w:val="0"/>
        </w:rPr>
        <w:t>Sub-Fund</w:t>
      </w:r>
      <w:r w:rsidRPr="009F4300">
        <w:rPr>
          <w:w w:val="0"/>
        </w:rPr>
        <w:t xml:space="preserve"> shall be ascertained as follows:</w:t>
      </w:r>
    </w:p>
    <w:p w:rsidRPr="00241A1C" w:rsidR="00F238C5" w:rsidP="00241A1C" w:rsidRDefault="00F238C5" w14:paraId="286454B1" w14:textId="75731BC9">
      <w:pPr>
        <w:pStyle w:val="ssNoHeading2"/>
        <w:rPr>
          <w:w w:val="0"/>
        </w:rPr>
      </w:pPr>
      <w:bookmarkStart w:name="_DV_M230" w:id="329"/>
      <w:bookmarkEnd w:id="329"/>
      <w:r w:rsidRPr="009F4300">
        <w:rPr>
          <w:w w:val="0"/>
        </w:rPr>
        <w:t>A notional account will be maintained for each Class.  Each account will be referred to as a “Proportion Account”</w:t>
      </w:r>
      <w:r w:rsidR="00241A1C">
        <w:rPr>
          <w:w w:val="0"/>
        </w:rPr>
        <w:t xml:space="preserve"> </w:t>
      </w:r>
      <w:r w:rsidRPr="00241A1C" w:rsidR="00241A1C">
        <w:rPr>
          <w:w w:val="0"/>
        </w:rPr>
        <w:t xml:space="preserve">and the proportionate interest of a Class of </w:t>
      </w:r>
      <w:r w:rsidR="00241A1C">
        <w:rPr>
          <w:w w:val="0"/>
        </w:rPr>
        <w:t>Units</w:t>
      </w:r>
      <w:r w:rsidRPr="00241A1C" w:rsidR="00241A1C">
        <w:rPr>
          <w:w w:val="0"/>
        </w:rPr>
        <w:t xml:space="preserve"> in the assets and income of a </w:t>
      </w:r>
      <w:r w:rsidR="00241A1C">
        <w:rPr>
          <w:w w:val="0"/>
        </w:rPr>
        <w:t>Sub-</w:t>
      </w:r>
      <w:r w:rsidRPr="00241A1C" w:rsidR="00241A1C">
        <w:rPr>
          <w:w w:val="0"/>
        </w:rPr>
        <w:t>Fund is its “proportion”.</w:t>
      </w:r>
    </w:p>
    <w:p w:rsidRPr="00241A1C" w:rsidR="00241A1C" w:rsidP="00241A1C" w:rsidRDefault="00F238C5" w14:paraId="103EA127" w14:textId="1DDACEB1">
      <w:pPr>
        <w:pStyle w:val="ssNoHeading2"/>
        <w:rPr>
          <w:w w:val="0"/>
        </w:rPr>
      </w:pPr>
      <w:bookmarkStart w:name="_DV_M231" w:id="330"/>
      <w:bookmarkEnd w:id="330"/>
      <w:r w:rsidRPr="009F4300">
        <w:rPr>
          <w:w w:val="0"/>
        </w:rPr>
        <w:t>The word “proportion” in the following paragraphs means the proportion which the balance on a Proportion Account at the relevant time bears to the balance on all the Proportion Accounts of a Class at that time</w:t>
      </w:r>
      <w:r w:rsidRPr="00241A1C" w:rsidR="00241A1C">
        <w:rPr>
          <w:w w:val="0"/>
        </w:rPr>
        <w:t xml:space="preserve">[, provided that, if Special Investment </w:t>
      </w:r>
      <w:r w:rsidR="00241A1C">
        <w:rPr>
          <w:w w:val="0"/>
        </w:rPr>
        <w:t>Units</w:t>
      </w:r>
      <w:r w:rsidRPr="00241A1C" w:rsidR="00241A1C">
        <w:rPr>
          <w:w w:val="0"/>
        </w:rPr>
        <w:t xml:space="preserve"> are in issue in respect of a </w:t>
      </w:r>
      <w:r w:rsidR="00241A1C">
        <w:rPr>
          <w:w w:val="0"/>
        </w:rPr>
        <w:t>Sub-</w:t>
      </w:r>
      <w:r w:rsidRPr="00241A1C" w:rsidR="00241A1C">
        <w:rPr>
          <w:w w:val="0"/>
        </w:rPr>
        <w:t xml:space="preserve">Fund, the proportion shall be adjusted such that the assets, liabilities, expenses, costs and charges attributable to such Special Investment </w:t>
      </w:r>
      <w:r w:rsidR="00241A1C">
        <w:rPr>
          <w:w w:val="0"/>
        </w:rPr>
        <w:t>Units</w:t>
      </w:r>
      <w:r w:rsidRPr="00241A1C" w:rsidR="00241A1C">
        <w:rPr>
          <w:w w:val="0"/>
        </w:rPr>
        <w:t xml:space="preserve"> shall be allocated to the notional account of the relevant Class of Special Investment </w:t>
      </w:r>
      <w:r w:rsidR="00241A1C">
        <w:rPr>
          <w:w w:val="0"/>
        </w:rPr>
        <w:t xml:space="preserve">Units </w:t>
      </w:r>
      <w:r w:rsidRPr="00241A1C" w:rsidR="00241A1C">
        <w:rPr>
          <w:w w:val="0"/>
        </w:rPr>
        <w:t>only. Accordingly:</w:t>
      </w:r>
    </w:p>
    <w:p w:rsidRPr="00241A1C" w:rsidR="00241A1C" w:rsidP="00241A1C" w:rsidRDefault="00241A1C" w14:paraId="4DB91708" w14:textId="55409A51">
      <w:pPr>
        <w:pStyle w:val="ssNoHeading3"/>
        <w:rPr>
          <w:w w:val="0"/>
        </w:rPr>
      </w:pPr>
      <w:r w:rsidRPr="00241A1C">
        <w:rPr>
          <w:w w:val="0"/>
        </w:rPr>
        <w:t xml:space="preserve">for the Proportion Account of a Class of Special Investment </w:t>
      </w:r>
      <w:r>
        <w:rPr>
          <w:w w:val="0"/>
        </w:rPr>
        <w:t>Units</w:t>
      </w:r>
      <w:r w:rsidRPr="00241A1C">
        <w:rPr>
          <w:w w:val="0"/>
        </w:rPr>
        <w:t xml:space="preserve">, the credits and debits identified below in respect of that Class of Special Investment </w:t>
      </w:r>
      <w:r>
        <w:rPr>
          <w:w w:val="0"/>
        </w:rPr>
        <w:t>Units</w:t>
      </w:r>
      <w:r w:rsidRPr="00241A1C">
        <w:rPr>
          <w:w w:val="0"/>
        </w:rPr>
        <w:t xml:space="preserve"> (“</w:t>
      </w:r>
      <w:r w:rsidRPr="00241A1C">
        <w:rPr>
          <w:b/>
          <w:bCs w:val="0"/>
          <w:w w:val="0"/>
        </w:rPr>
        <w:t>the Special Investment Units Class Amounts</w:t>
      </w:r>
      <w:r w:rsidRPr="00241A1C">
        <w:rPr>
          <w:w w:val="0"/>
        </w:rPr>
        <w:t xml:space="preserve">”) shall be credited and debited solely to the Proportion Account for that Class of Special Investment </w:t>
      </w:r>
      <w:r>
        <w:rPr>
          <w:w w:val="0"/>
        </w:rPr>
        <w:t>Units</w:t>
      </w:r>
      <w:r w:rsidRPr="00241A1C">
        <w:rPr>
          <w:w w:val="0"/>
        </w:rPr>
        <w:t xml:space="preserve"> and accordingly, credits and debits in respect of Special Investment </w:t>
      </w:r>
      <w:r>
        <w:rPr>
          <w:w w:val="0"/>
        </w:rPr>
        <w:t xml:space="preserve">Units </w:t>
      </w:r>
      <w:r w:rsidRPr="00241A1C">
        <w:rPr>
          <w:w w:val="0"/>
        </w:rPr>
        <w:t xml:space="preserve">Class Amounts for a Class of Special Investment </w:t>
      </w:r>
      <w:r>
        <w:rPr>
          <w:w w:val="0"/>
        </w:rPr>
        <w:t>Units</w:t>
      </w:r>
      <w:r w:rsidRPr="00241A1C">
        <w:rPr>
          <w:w w:val="0"/>
        </w:rPr>
        <w:t xml:space="preserve"> shall not give rise to any credits or debits to Proportion Accounts for any other Class; and</w:t>
      </w:r>
    </w:p>
    <w:p w:rsidRPr="00241A1C" w:rsidR="00F238C5" w:rsidP="00241A1C" w:rsidRDefault="00241A1C" w14:paraId="2C11D3F5" w14:textId="53E8D1D7">
      <w:pPr>
        <w:pStyle w:val="ssNoHeading3"/>
        <w:rPr>
          <w:w w:val="0"/>
        </w:rPr>
      </w:pPr>
      <w:r w:rsidRPr="00241A1C">
        <w:rPr>
          <w:w w:val="0"/>
        </w:rPr>
        <w:t xml:space="preserve">consequently, the Special Investment </w:t>
      </w:r>
      <w:r w:rsidR="008A7758">
        <w:rPr>
          <w:w w:val="0"/>
        </w:rPr>
        <w:t>Units</w:t>
      </w:r>
      <w:r w:rsidRPr="00241A1C">
        <w:rPr>
          <w:w w:val="0"/>
        </w:rPr>
        <w:t xml:space="preserve"> Class Amounts shall be excluded from assessment of the balance on all the other Proportion Accounts for the purposes of applying the proportion of the </w:t>
      </w:r>
      <w:r w:rsidR="008A7758">
        <w:rPr>
          <w:w w:val="0"/>
        </w:rPr>
        <w:t>Sub-</w:t>
      </w:r>
      <w:r w:rsidRPr="00241A1C">
        <w:rPr>
          <w:w w:val="0"/>
        </w:rPr>
        <w:t xml:space="preserve">Fund which is used for the purposes of allocating all other assets, liabilities, expenses, costs or charges between </w:t>
      </w:r>
      <w:r w:rsidR="008A7758">
        <w:rPr>
          <w:w w:val="0"/>
        </w:rPr>
        <w:t>Unit</w:t>
      </w:r>
      <w:r w:rsidRPr="00241A1C">
        <w:rPr>
          <w:w w:val="0"/>
        </w:rPr>
        <w:t xml:space="preserve"> Classes].</w:t>
      </w:r>
      <w:r w:rsidRPr="002D31A3" w:rsidR="00605E8C">
        <w:rPr>
          <w:rStyle w:val="EndnoteReference"/>
        </w:rPr>
        <w:endnoteReference w:id="58"/>
      </w:r>
    </w:p>
    <w:p w:rsidRPr="009F4300" w:rsidR="00F238C5" w:rsidP="00241A1C" w:rsidRDefault="00F238C5" w14:paraId="42FD26AF" w14:textId="1856D292">
      <w:pPr>
        <w:pStyle w:val="ssNoHeading2"/>
      </w:pPr>
      <w:bookmarkStart w:name="_DV_M232" w:id="331"/>
      <w:bookmarkEnd w:id="331"/>
      <w:r w:rsidRPr="009F4300">
        <w:rPr>
          <w:w w:val="0"/>
        </w:rPr>
        <w:t>There will be credited to a Proportion Account:</w:t>
      </w:r>
    </w:p>
    <w:p w:rsidR="008A7758" w:rsidP="008A7758" w:rsidRDefault="008A7758" w14:paraId="63EC6766" w14:textId="3EC36F40">
      <w:pPr>
        <w:pStyle w:val="ssNoHeading3"/>
      </w:pPr>
      <w:bookmarkStart w:name="_DV_M233" w:id="332"/>
      <w:bookmarkEnd w:id="332"/>
      <w:r>
        <w:t>the subscription amount whether paid in cash or in specie (excluding any initial charges or dilution levy for the issue of Units of the relevant Class (“</w:t>
      </w:r>
      <w:r>
        <w:rPr>
          <w:u w:val="single"/>
        </w:rPr>
        <w:t>subscription money</w:t>
      </w:r>
      <w:r>
        <w:t>”);</w:t>
      </w:r>
    </w:p>
    <w:p w:rsidR="008A7758" w:rsidP="008A7758" w:rsidRDefault="008A7758" w14:paraId="7F47A56B" w14:textId="264D66B4">
      <w:pPr>
        <w:pStyle w:val="ssNoHeading3"/>
      </w:pPr>
      <w:r>
        <w:t>that Class’s proportion of the amount by which the Net Asset Value of the Sub-Fund exceeds the total subscription money for all Units in the Sub-Fund;</w:t>
      </w:r>
    </w:p>
    <w:p w:rsidR="008A7758" w:rsidP="008A7758" w:rsidRDefault="008A7758" w14:paraId="7AA1F340" w14:textId="56ABF78A">
      <w:pPr>
        <w:pStyle w:val="ssNoHeading3"/>
      </w:pPr>
      <w:r>
        <w:t>that Class’s proportion of the Sub-Fund is income received and receivable; and</w:t>
      </w:r>
    </w:p>
    <w:p w:rsidRPr="009F4300" w:rsidR="00F238C5" w:rsidP="008A7758" w:rsidRDefault="008A7758" w14:paraId="6BA6268A" w14:textId="1BBDDC60">
      <w:pPr>
        <w:pStyle w:val="ssNoHeading3"/>
      </w:pPr>
      <w:r>
        <w:t xml:space="preserve">any notional tax benefit under paragraph </w:t>
      </w:r>
      <w:r w:rsidR="009B60B7">
        <w:fldChar w:fldCharType="begin"/>
      </w:r>
      <w:r w:rsidR="009B60B7">
        <w:instrText xml:space="preserve"> REF _Ref98086865 \r \h </w:instrText>
      </w:r>
      <w:r w:rsidR="009B60B7">
        <w:fldChar w:fldCharType="separate"/>
      </w:r>
      <w:r w:rsidR="00663122">
        <w:rPr>
          <w:cs/>
        </w:rPr>
        <w:t>‎</w:t>
      </w:r>
      <w:r w:rsidR="00663122">
        <w:t>1.5</w:t>
      </w:r>
      <w:r w:rsidR="009B60B7">
        <w:fldChar w:fldCharType="end"/>
      </w:r>
      <w:r>
        <w:t xml:space="preserve"> below.</w:t>
      </w:r>
    </w:p>
    <w:p w:rsidRPr="009F4300" w:rsidR="00F238C5" w:rsidP="00241A1C" w:rsidRDefault="00F238C5" w14:paraId="60216E66" w14:textId="402D2CBA">
      <w:pPr>
        <w:pStyle w:val="ssNoHeading2"/>
      </w:pPr>
      <w:bookmarkStart w:name="_DV_M237" w:id="333"/>
      <w:bookmarkEnd w:id="333"/>
      <w:r w:rsidRPr="009F4300">
        <w:rPr>
          <w:w w:val="0"/>
        </w:rPr>
        <w:t>There will be debited to a Proportion Account:</w:t>
      </w:r>
    </w:p>
    <w:p w:rsidR="008A7758" w:rsidP="008A7758" w:rsidRDefault="008A7758" w14:paraId="36F67353" w14:textId="5BB521B6">
      <w:pPr>
        <w:pStyle w:val="ssNoHeading3"/>
      </w:pPr>
      <w:bookmarkStart w:name="_DV_M238" w:id="334"/>
      <w:bookmarkEnd w:id="334"/>
      <w:r>
        <w:t>the redemption payment for the cancellation of Units of the relevant Class;</w:t>
      </w:r>
    </w:p>
    <w:p w:rsidR="008A7758" w:rsidP="008A7758" w:rsidRDefault="008A7758" w14:paraId="27B2FE90" w14:textId="3866174F">
      <w:pPr>
        <w:pStyle w:val="ssNoHeading3"/>
      </w:pPr>
      <w:r>
        <w:t>that Class’s proportion of any amount by which the Net Asset Value of the Sub-Fund falls short of the total subscription money for all Units in the Sub-Fund;</w:t>
      </w:r>
    </w:p>
    <w:p w:rsidR="008A7758" w:rsidP="008A7758" w:rsidRDefault="008A7758" w14:paraId="18DC91C3" w14:textId="7BA5A6A8">
      <w:pPr>
        <w:pStyle w:val="ssNoHeading3"/>
      </w:pPr>
      <w:r>
        <w:t>all distributions of income (including equalisation if any) made to Unitholders of that Class;</w:t>
      </w:r>
    </w:p>
    <w:p w:rsidR="008A7758" w:rsidP="008A7758" w:rsidRDefault="008A7758" w14:paraId="60D0A933" w14:textId="77777777">
      <w:pPr>
        <w:pStyle w:val="ssNoHeading3"/>
      </w:pPr>
      <w:r>
        <w:lastRenderedPageBreak/>
        <w:t>all costs, charges and expenses incurred solely in respect of that Class;</w:t>
      </w:r>
    </w:p>
    <w:p w:rsidR="008A7758" w:rsidP="008A7758" w:rsidRDefault="008A7758" w14:paraId="3FF7EEAE" w14:textId="31F9BB3A">
      <w:pPr>
        <w:pStyle w:val="ssNoHeading3"/>
      </w:pPr>
      <w:r>
        <w:t>that Class’s share of the costs, charges and expenses incurred in respect of that Class and one or more other Classes in the Sub-Fund, but not in respect of the Sub-Fund as a whole;</w:t>
      </w:r>
    </w:p>
    <w:p w:rsidR="008A7758" w:rsidP="008A7758" w:rsidRDefault="008A7758" w14:paraId="258C6B4B" w14:textId="75619019">
      <w:pPr>
        <w:pStyle w:val="ssNoHeading3"/>
      </w:pPr>
      <w:r>
        <w:t>that Class’s share of the costs, charges and expenses incurred in respect of or attributable to the Sub-Fund as a whole; and</w:t>
      </w:r>
    </w:p>
    <w:p w:rsidRPr="009F4300" w:rsidR="00F238C5" w:rsidP="008A7758" w:rsidRDefault="008A7758" w14:paraId="514BDAB3" w14:textId="6D8CADC8">
      <w:pPr>
        <w:pStyle w:val="ssNoHeading3"/>
      </w:pPr>
      <w:r>
        <w:t xml:space="preserve">any notional tax liability under paragraph </w:t>
      </w:r>
      <w:r w:rsidR="009B60B7">
        <w:t>1.6 below</w:t>
      </w:r>
      <w:r>
        <w:t>.</w:t>
      </w:r>
    </w:p>
    <w:p w:rsidR="008A7758" w:rsidP="008A7758" w:rsidRDefault="008A7758" w14:paraId="209A8037" w14:textId="61E175E7">
      <w:pPr>
        <w:pStyle w:val="ssNoHeading2"/>
      </w:pPr>
      <w:bookmarkStart w:name="_DV_M246" w:id="335"/>
      <w:bookmarkStart w:name="_Ref98086865" w:id="336"/>
      <w:bookmarkEnd w:id="335"/>
      <w:r>
        <w:t>Any tax liability in respect of the Sub-Fund and any tax benefit received or receivable in respect of the Sub-Fund shall be allocated between Unit Classes in order to achieve, so far as possible, the same result as would have been achieved if each Class were itself a Sub-Fund so as not materially to prejudice any Class. The allocation shall be carried out by the Manager after consultation with the auditors.</w:t>
      </w:r>
      <w:bookmarkEnd w:id="336"/>
    </w:p>
    <w:p w:rsidR="008A7758" w:rsidP="008A7758" w:rsidRDefault="008A7758" w14:paraId="62357520" w14:textId="34CBB1F0">
      <w:pPr>
        <w:pStyle w:val="ssNoHeading2"/>
      </w:pPr>
      <w:r>
        <w:t>Where a Class is denominated in a currency which is not the Base Currency, the balance on the Proportion Account shall be converted into the Base Currency in order to ascertain the proportions of all Classes. Conversions between currencies shall be at a rate of exchange decided by the Manager as being a rate that is not likely to result in any material prejudice to the interests of Unitholders or potential Unitholders.</w:t>
      </w:r>
    </w:p>
    <w:p w:rsidR="008A7758" w:rsidP="008A7758" w:rsidRDefault="008A7758" w14:paraId="71534760" w14:textId="01325C39">
      <w:pPr>
        <w:pStyle w:val="ssNoHeading2"/>
      </w:pPr>
      <w:r>
        <w:t>The Proportion Accounts are notional accounts maintained for the purpose of calculating proportions. They do not represent debts from the Scheme to Unitholders or the other way round.</w:t>
      </w:r>
    </w:p>
    <w:p w:rsidR="008A7758" w:rsidP="001E0B2F" w:rsidRDefault="008A7758" w14:paraId="22E634D3" w14:textId="77777777">
      <w:pPr>
        <w:pStyle w:val="ssNoHeading1"/>
        <w:numPr>
          <w:ilvl w:val="1"/>
          <w:numId w:val="76"/>
        </w:numPr>
      </w:pPr>
      <w:r>
        <w:t>Each credit and debit to a Proportion Account shall be allocated to that account on the basis of that Class’s proportion immediately before the allocation. All such adjustments shall be made as are necessary to ensure that on no occasion on which the proportions are ascertained is any amount counted more than once.</w:t>
      </w:r>
    </w:p>
    <w:p w:rsidR="008A7758" w:rsidP="001E0B2F" w:rsidRDefault="008A7758" w14:paraId="74853B5F" w14:textId="2329B19A">
      <w:pPr>
        <w:pStyle w:val="ssNoHeading1"/>
        <w:numPr>
          <w:ilvl w:val="1"/>
          <w:numId w:val="76"/>
        </w:numPr>
        <w:rPr>
          <w:spacing w:val="-2"/>
        </w:rPr>
      </w:pPr>
      <w:r>
        <w:t xml:space="preserve">When Units are issued thereafter each such Unit shall represent the same proportionate interest in the property of the relevant Sub-Fund as each other Unit of the same denomination and Class then in issue in respect of that Sub-Fund. </w:t>
      </w:r>
    </w:p>
    <w:p w:rsidRPr="008A7758" w:rsidR="00885391" w:rsidP="001E0B2F" w:rsidRDefault="008A7758" w14:paraId="74DF594E" w14:textId="5D073A8A">
      <w:pPr>
        <w:pStyle w:val="ssNoHeading1"/>
        <w:numPr>
          <w:ilvl w:val="1"/>
          <w:numId w:val="76"/>
        </w:numPr>
        <w:rPr>
          <w:spacing w:val="-2"/>
        </w:rPr>
      </w:pPr>
      <w:r>
        <w:t xml:space="preserve">The Scheme shall allocate the amount available for income allocation (calculated in accordance with the FCA Rules) between the Classes in issue in respect of the relevant Sub-Fund according to their respective proportionate interests in the property of the Sub-Fund represented by the Units in issue at the </w:t>
      </w:r>
      <w:r w:rsidR="00C51A3E">
        <w:t>Valuation</w:t>
      </w:r>
      <w:r w:rsidR="00D135F7">
        <w:t xml:space="preserve"> Point</w:t>
      </w:r>
      <w:r>
        <w:t xml:space="preserve"> in question.</w:t>
      </w:r>
    </w:p>
    <w:p w:rsidR="00885391" w:rsidRDefault="00885391" w14:paraId="4F4EB952" w14:textId="77777777">
      <w:pPr>
        <w:jc w:val="left"/>
        <w:rPr>
          <w:rFonts w:eastAsia="MingLiU" w:cs="Times New Roman"/>
          <w:bCs/>
          <w:w w:val="0"/>
          <w:kern w:val="32"/>
          <w:szCs w:val="28"/>
          <w:lang w:eastAsia="en-GB"/>
        </w:rPr>
      </w:pPr>
      <w:r>
        <w:rPr>
          <w:w w:val="0"/>
        </w:rPr>
        <w:br w:type="page"/>
      </w:r>
    </w:p>
    <w:p w:rsidRPr="009F4300" w:rsidR="00F238C5" w:rsidP="00BF7CEC" w:rsidRDefault="002E0F9A" w14:paraId="6E6D9732" w14:textId="40B862E6">
      <w:pPr>
        <w:pStyle w:val="ssqPart"/>
        <w:keepNext/>
        <w:rPr>
          <w:w w:val="0"/>
        </w:rPr>
      </w:pPr>
      <w:bookmarkStart w:name="_DV_M252" w:id="337"/>
      <w:bookmarkStart w:name="_Ref117249443" w:id="338"/>
      <w:bookmarkStart w:name="_Ref118276274" w:id="339"/>
      <w:bookmarkStart w:name="_Toc179391876" w:id="340"/>
      <w:bookmarkEnd w:id="337"/>
      <w:r w:rsidRPr="009F4300">
        <w:rPr>
          <w:bCs/>
          <w:w w:val="0"/>
        </w:rPr>
        <w:lastRenderedPageBreak/>
        <w:t xml:space="preserve">: </w:t>
      </w:r>
      <w:bookmarkEnd w:id="338"/>
      <w:r w:rsidR="001E0B2F">
        <w:rPr>
          <w:w w:val="0"/>
        </w:rPr>
        <w:t>Determination of net asset value</w:t>
      </w:r>
      <w:bookmarkEnd w:id="339"/>
      <w:bookmarkEnd w:id="340"/>
    </w:p>
    <w:p w:rsidRPr="003B73DB" w:rsidR="00BF7CEC" w:rsidP="00BF7CEC" w:rsidRDefault="00BF7CEC" w14:paraId="1C05B6D1" w14:textId="77777777">
      <w:pPr>
        <w:pStyle w:val="ssRestartNumber"/>
        <w:keepNext/>
        <w:rPr>
          <w:vanish/>
          <w:color w:val="303030" w:themeColor="text1"/>
        </w:rPr>
      </w:pPr>
    </w:p>
    <w:p w:rsidR="001E0B2F" w:rsidP="001E0B2F" w:rsidRDefault="001E0B2F" w14:paraId="45749924" w14:textId="25C71174">
      <w:pPr>
        <w:pStyle w:val="ssPara1"/>
        <w:numPr>
          <w:ilvl w:val="1"/>
          <w:numId w:val="77"/>
        </w:numPr>
        <w:jc w:val="center"/>
        <w:rPr>
          <w:b/>
          <w:bCs/>
        </w:rPr>
      </w:pPr>
      <w:bookmarkStart w:name="_DV_M253" w:id="341"/>
      <w:bookmarkStart w:name="_DV_M254" w:id="342"/>
      <w:bookmarkEnd w:id="341"/>
      <w:bookmarkEnd w:id="342"/>
      <w:r>
        <w:rPr>
          <w:b/>
          <w:bCs/>
        </w:rPr>
        <w:t>[SINGLE PRICED SCHEME]</w:t>
      </w:r>
      <w:r>
        <w:rPr>
          <w:rStyle w:val="EndnoteReference"/>
        </w:rPr>
        <w:endnoteReference w:id="59"/>
      </w:r>
      <w:r w:rsidR="00605E8C">
        <w:rPr>
          <w:b/>
          <w:bCs/>
        </w:rPr>
        <w:t xml:space="preserve"> </w:t>
      </w:r>
      <w:r w:rsidRPr="00BC7FF0">
        <w:rPr>
          <w:rStyle w:val="EndnoteReference"/>
        </w:rPr>
        <w:endnoteReference w:id="60"/>
      </w:r>
    </w:p>
    <w:p w:rsidR="001E0B2F" w:rsidP="001E0B2F" w:rsidRDefault="001E0B2F" w14:paraId="2523CB61" w14:textId="77777777">
      <w:pPr>
        <w:pStyle w:val="ssPara"/>
        <w:numPr>
          <w:ilvl w:val="0"/>
          <w:numId w:val="77"/>
        </w:numPr>
        <w:rPr>
          <w:lang w:eastAsia="en-GB"/>
        </w:rPr>
      </w:pPr>
    </w:p>
    <w:p w:rsidR="001E0B2F" w:rsidP="001E0B2F" w:rsidRDefault="001E0B2F" w14:paraId="693DFEC9" w14:textId="16555A10">
      <w:pPr>
        <w:pStyle w:val="ssPara"/>
        <w:numPr>
          <w:ilvl w:val="0"/>
          <w:numId w:val="77"/>
        </w:numPr>
      </w:pPr>
      <w:r>
        <w:t>The value of the Scheme Property of the Scheme [or Sub-Fund (as the case may be)]</w:t>
      </w:r>
      <w:r>
        <w:rPr>
          <w:vertAlign w:val="superscript"/>
        </w:rPr>
        <w:t>2</w:t>
      </w:r>
      <w:r>
        <w:t xml:space="preserve"> shall be the value of its assets less the value of its liabilities determined in accordance with the following provisions. [For the purposes of calculating the Net Asset Value of the Scheme [or Sub-Fund (as the case may be)]</w:t>
      </w:r>
      <w:r>
        <w:rPr>
          <w:vertAlign w:val="superscript"/>
        </w:rPr>
        <w:t>2</w:t>
      </w:r>
      <w:r>
        <w:t>, any Side Pocket Assets attributable to any Special Investment Units in issue shall be excluded and shall instead be attributed to the appropriate Special Investment Unit(s).]</w:t>
      </w:r>
      <w:r>
        <w:rPr>
          <w:rStyle w:val="EndnoteReference"/>
        </w:rPr>
        <w:endnoteReference w:id="61"/>
      </w:r>
    </w:p>
    <w:p w:rsidR="001E0B2F" w:rsidP="001E0B2F" w:rsidRDefault="001E0B2F" w14:paraId="0A6447DB" w14:textId="77777777">
      <w:pPr>
        <w:pStyle w:val="ssNoHeading1"/>
      </w:pPr>
      <w:bookmarkStart w:name="_Toc98167122" w:id="343"/>
      <w:bookmarkStart w:name="_Toc102004083" w:id="344"/>
      <w:bookmarkStart w:name="_Toc102940333" w:id="345"/>
      <w:bookmarkStart w:name="_Toc116649480" w:id="346"/>
      <w:bookmarkStart w:name="_Toc116651837" w:id="347"/>
      <w:r>
        <w:t>All the Scheme Property (including receivables) is to be included in the valuation, subject to the following provisions.</w:t>
      </w:r>
      <w:bookmarkEnd w:id="343"/>
      <w:bookmarkEnd w:id="344"/>
      <w:bookmarkEnd w:id="345"/>
      <w:bookmarkEnd w:id="346"/>
      <w:bookmarkEnd w:id="347"/>
    </w:p>
    <w:p w:rsidR="001E0B2F" w:rsidP="001E0B2F" w:rsidRDefault="001E0B2F" w14:paraId="44254013" w14:textId="05E5C3F4">
      <w:pPr>
        <w:pStyle w:val="ssNoHeading1"/>
        <w:numPr>
          <w:ilvl w:val="1"/>
          <w:numId w:val="76"/>
        </w:numPr>
      </w:pPr>
      <w:r>
        <w:t xml:space="preserve">Scheme Property which is not cash (or other assets set out in paragraphs </w:t>
      </w:r>
      <w:r>
        <w:fldChar w:fldCharType="begin"/>
      </w:r>
      <w:r>
        <w:instrText xml:space="preserve"> REF _Ref92232453 \r \h </w:instrText>
      </w:r>
      <w:r>
        <w:fldChar w:fldCharType="separate"/>
      </w:r>
      <w:r w:rsidR="00663122">
        <w:rPr>
          <w:cs/>
        </w:rPr>
        <w:t>‎</w:t>
      </w:r>
      <w:r w:rsidR="00663122">
        <w:t>3</w:t>
      </w:r>
      <w:r>
        <w:fldChar w:fldCharType="end"/>
      </w:r>
      <w:r>
        <w:t xml:space="preserve"> and </w:t>
      </w:r>
      <w:r>
        <w:fldChar w:fldCharType="begin"/>
      </w:r>
      <w:r>
        <w:instrText xml:space="preserve"> REF _Ref92232458 \r \h </w:instrText>
      </w:r>
      <w:r>
        <w:fldChar w:fldCharType="separate"/>
      </w:r>
      <w:r w:rsidR="00663122">
        <w:rPr>
          <w:cs/>
        </w:rPr>
        <w:t>‎</w:t>
      </w:r>
      <w:r w:rsidR="00663122">
        <w:t>4</w:t>
      </w:r>
      <w:r>
        <w:fldChar w:fldCharType="end"/>
      </w:r>
      <w:r>
        <w:t xml:space="preserve"> below) or a contingent liability transaction shall be valued as follows and the prices used shall (subject as follows) be the most recent prices which it is practicable to obtain:</w:t>
      </w:r>
    </w:p>
    <w:p w:rsidR="001E0B2F" w:rsidP="001E0B2F" w:rsidRDefault="001E0B2F" w14:paraId="6417F67C" w14:textId="77777777">
      <w:pPr>
        <w:pStyle w:val="ssNoHeading2"/>
        <w:numPr>
          <w:ilvl w:val="2"/>
          <w:numId w:val="76"/>
        </w:numPr>
        <w:tabs>
          <w:tab w:val="clear" w:pos="709"/>
          <w:tab w:val="num" w:pos="1418"/>
        </w:tabs>
        <w:ind w:left="1418"/>
      </w:pPr>
      <w:r>
        <w:t>units or shares in a collective investment scheme:</w:t>
      </w:r>
    </w:p>
    <w:p w:rsidR="001E0B2F" w:rsidP="001E0B2F" w:rsidRDefault="001E0B2F" w14:paraId="0657EE3C" w14:textId="77777777">
      <w:pPr>
        <w:pStyle w:val="ssNoHeading3"/>
        <w:numPr>
          <w:ilvl w:val="3"/>
          <w:numId w:val="76"/>
        </w:numPr>
        <w:tabs>
          <w:tab w:val="clear" w:pos="1418"/>
          <w:tab w:val="num" w:pos="2127"/>
        </w:tabs>
        <w:ind w:left="2127"/>
      </w:pPr>
      <w:r>
        <w:t>if a single price for buying and redeeming units or shares is quoted, at that price; or</w:t>
      </w:r>
    </w:p>
    <w:p w:rsidR="001E0B2F" w:rsidP="001E0B2F" w:rsidRDefault="001E0B2F" w14:paraId="765B1895" w14:textId="77777777">
      <w:pPr>
        <w:pStyle w:val="ssNoHeading3"/>
        <w:numPr>
          <w:ilvl w:val="3"/>
          <w:numId w:val="76"/>
        </w:numPr>
        <w:tabs>
          <w:tab w:val="clear" w:pos="1418"/>
          <w:tab w:val="num" w:pos="2127"/>
        </w:tabs>
        <w:ind w:left="2127"/>
      </w:pPr>
      <w:r>
        <w:t>if separate buying and selling prices are quoted, at the average of the two prices provided the buying price has been reduced by any initial charge included therein and the selling price has been increased by any exit or redemption charge(s) attributable thereto; or</w:t>
      </w:r>
    </w:p>
    <w:p w:rsidR="001E0B2F" w:rsidP="001E0B2F" w:rsidRDefault="001E0B2F" w14:paraId="1FCB1374" w14:textId="3741A54E">
      <w:pPr>
        <w:pStyle w:val="ssNoHeading3"/>
        <w:numPr>
          <w:ilvl w:val="3"/>
          <w:numId w:val="76"/>
        </w:numPr>
        <w:tabs>
          <w:tab w:val="clear" w:pos="1418"/>
          <w:tab w:val="num" w:pos="2127"/>
        </w:tabs>
        <w:ind w:left="2127"/>
      </w:pPr>
      <w:r>
        <w:t>if, in the opinion of the Manager, the price obtained is unreliable or no recent traded price is available or exists, or if the most recent price available does not reflect the Manager’s best estimate of the value of the relevant assets, at a value which, in the opinion of the Manager, is fair and reasonable;</w:t>
      </w:r>
    </w:p>
    <w:p w:rsidR="001E0B2F" w:rsidP="001E0B2F" w:rsidRDefault="001E0B2F" w14:paraId="4CB5FE6A" w14:textId="77777777">
      <w:pPr>
        <w:pStyle w:val="ssNoHeading2"/>
        <w:numPr>
          <w:ilvl w:val="2"/>
          <w:numId w:val="76"/>
        </w:numPr>
        <w:tabs>
          <w:tab w:val="clear" w:pos="709"/>
          <w:tab w:val="num" w:pos="1418"/>
        </w:tabs>
        <w:ind w:left="1418"/>
      </w:pPr>
      <w:r>
        <w:t>immovable property:</w:t>
      </w:r>
    </w:p>
    <w:p w:rsidR="001E0B2F" w:rsidP="001E0B2F" w:rsidRDefault="001E0B2F" w14:paraId="7CEE07F7" w14:textId="7659908A">
      <w:pPr>
        <w:pStyle w:val="ssNoHeading3"/>
        <w:numPr>
          <w:ilvl w:val="3"/>
          <w:numId w:val="76"/>
        </w:numPr>
        <w:tabs>
          <w:tab w:val="clear" w:pos="1418"/>
          <w:tab w:val="num" w:pos="2127"/>
        </w:tabs>
        <w:ind w:left="2127"/>
      </w:pPr>
      <w:r>
        <w:t xml:space="preserve">by a standing independent valuer (as defined in the FCA Rules) appointed by the Manager with the approval of the Depositary, on the basis of a valuation undertaken in accordance with UKVPS 3 and 2.3 of UKVPGA of the RICS Valuation – Global Standards 2017, UK national supplement 2018 (the RCIS Red Book) or, in the case of overseas immovables (if any) on an appropriate basis, but subject to any other provision of this </w:t>
      </w:r>
      <w:r w:rsidR="00695E22">
        <w:t>Deed</w:t>
      </w:r>
      <w:r>
        <w:t>;</w:t>
      </w:r>
    </w:p>
    <w:p w:rsidR="001E0B2F" w:rsidP="001E0B2F" w:rsidRDefault="001E0B2F" w14:paraId="52B4784E" w14:textId="77777777">
      <w:pPr>
        <w:pStyle w:val="ssNoHeading3"/>
        <w:numPr>
          <w:ilvl w:val="3"/>
          <w:numId w:val="76"/>
        </w:numPr>
        <w:tabs>
          <w:tab w:val="clear" w:pos="1418"/>
          <w:tab w:val="num" w:pos="2127"/>
        </w:tabs>
        <w:ind w:left="2127"/>
      </w:pPr>
      <w:r>
        <w:t>on the basis of a full valuation with physical inspection (including, where the immovable is or includes a building, internal inspection), at least once a year; and</w:t>
      </w:r>
    </w:p>
    <w:p w:rsidR="001E0B2F" w:rsidP="001E0B2F" w:rsidRDefault="001E0B2F" w14:paraId="70781FA0" w14:textId="77777777">
      <w:pPr>
        <w:pStyle w:val="ssNoHeading3"/>
        <w:numPr>
          <w:ilvl w:val="3"/>
          <w:numId w:val="76"/>
        </w:numPr>
        <w:tabs>
          <w:tab w:val="clear" w:pos="1418"/>
          <w:tab w:val="num" w:pos="2127"/>
        </w:tabs>
        <w:ind w:left="2127"/>
        <w:rPr>
          <w:spacing w:val="-2"/>
        </w:rPr>
      </w:pPr>
      <w:r>
        <w:t>on the basis of the last full valuation, at least once a month;]</w:t>
      </w:r>
      <w:r>
        <w:rPr>
          <w:rStyle w:val="EndnoteReference"/>
        </w:rPr>
        <w:endnoteReference w:id="62"/>
      </w:r>
    </w:p>
    <w:p w:rsidR="001E0B2F" w:rsidP="001E0B2F" w:rsidRDefault="001E0B2F" w14:paraId="4B622E6B" w14:textId="77777777">
      <w:pPr>
        <w:pStyle w:val="ssNoHeading2"/>
        <w:numPr>
          <w:ilvl w:val="2"/>
          <w:numId w:val="76"/>
        </w:numPr>
        <w:tabs>
          <w:tab w:val="clear" w:pos="709"/>
          <w:tab w:val="num" w:pos="1418"/>
        </w:tabs>
        <w:ind w:left="1418"/>
      </w:pPr>
      <w:r>
        <w:t>exchange-traded derivative contracts:</w:t>
      </w:r>
    </w:p>
    <w:p w:rsidR="001E0B2F" w:rsidP="001E0B2F" w:rsidRDefault="001E0B2F" w14:paraId="109B8AED" w14:textId="77777777">
      <w:pPr>
        <w:pStyle w:val="ssNoHeading3"/>
        <w:numPr>
          <w:ilvl w:val="3"/>
          <w:numId w:val="76"/>
        </w:numPr>
        <w:tabs>
          <w:tab w:val="clear" w:pos="1418"/>
          <w:tab w:val="num" w:pos="2127"/>
        </w:tabs>
        <w:ind w:left="2127"/>
      </w:pPr>
      <w:r>
        <w:t>if a single price for buying and selling the exchange-traded derivative contract is quoted, at that price; or</w:t>
      </w:r>
    </w:p>
    <w:p w:rsidR="001E0B2F" w:rsidP="001E0B2F" w:rsidRDefault="001E0B2F" w14:paraId="3A2D6796" w14:textId="77777777">
      <w:pPr>
        <w:pStyle w:val="ssNoHeading3"/>
        <w:numPr>
          <w:ilvl w:val="3"/>
          <w:numId w:val="76"/>
        </w:numPr>
        <w:tabs>
          <w:tab w:val="clear" w:pos="1418"/>
          <w:tab w:val="num" w:pos="2127"/>
        </w:tabs>
        <w:ind w:left="2127"/>
      </w:pPr>
      <w:r>
        <w:lastRenderedPageBreak/>
        <w:t xml:space="preserve">if separate buying and selling prices are quoted, at the average of the two prices; </w:t>
      </w:r>
    </w:p>
    <w:p w:rsidR="001E0B2F" w:rsidP="001E0B2F" w:rsidRDefault="001E0B2F" w14:paraId="7AEBB5E3" w14:textId="35E883AA">
      <w:pPr>
        <w:pStyle w:val="ssNoHeading2"/>
        <w:numPr>
          <w:ilvl w:val="2"/>
          <w:numId w:val="76"/>
        </w:numPr>
        <w:tabs>
          <w:tab w:val="clear" w:pos="709"/>
          <w:tab w:val="num" w:pos="1418"/>
        </w:tabs>
        <w:ind w:left="1418"/>
      </w:pPr>
      <w:r>
        <w:t>over-the-counter derivative contracts shall be valued in accordance with the method of valuation as shall have been agreed between the Manager and the Depositary;</w:t>
      </w:r>
      <w:r>
        <w:rPr>
          <w:rStyle w:val="EndnoteReference"/>
        </w:rPr>
        <w:endnoteReference w:id="63"/>
      </w:r>
    </w:p>
    <w:p w:rsidR="001E0B2F" w:rsidP="001E0B2F" w:rsidRDefault="001E0B2F" w14:paraId="3FADC1D9" w14:textId="77777777">
      <w:pPr>
        <w:pStyle w:val="ssNoHeading2"/>
        <w:numPr>
          <w:ilvl w:val="2"/>
          <w:numId w:val="76"/>
        </w:numPr>
        <w:tabs>
          <w:tab w:val="clear" w:pos="709"/>
          <w:tab w:val="num" w:pos="1418"/>
        </w:tabs>
        <w:ind w:left="1418"/>
      </w:pPr>
      <w:r>
        <w:t>any other investment:</w:t>
      </w:r>
    </w:p>
    <w:p w:rsidR="001E0B2F" w:rsidP="001E0B2F" w:rsidRDefault="001E0B2F" w14:paraId="07F26964" w14:textId="77777777">
      <w:pPr>
        <w:pStyle w:val="ssNoHeading3"/>
        <w:numPr>
          <w:ilvl w:val="3"/>
          <w:numId w:val="76"/>
        </w:numPr>
        <w:tabs>
          <w:tab w:val="clear" w:pos="1418"/>
          <w:tab w:val="num" w:pos="2127"/>
        </w:tabs>
        <w:ind w:left="2127"/>
      </w:pPr>
      <w:r>
        <w:t>if a single price for buying and selling the security is quoted, at that price; or</w:t>
      </w:r>
    </w:p>
    <w:p w:rsidR="001E0B2F" w:rsidP="001E0B2F" w:rsidRDefault="001E0B2F" w14:paraId="79C1E6B5" w14:textId="77777777">
      <w:pPr>
        <w:pStyle w:val="ssNoHeading3"/>
        <w:numPr>
          <w:ilvl w:val="3"/>
          <w:numId w:val="76"/>
        </w:numPr>
        <w:tabs>
          <w:tab w:val="clear" w:pos="1418"/>
          <w:tab w:val="num" w:pos="2127"/>
        </w:tabs>
        <w:ind w:left="2127"/>
      </w:pPr>
      <w:r>
        <w:t>if separate buying and selling prices are quoted, at the average of the two prices; or</w:t>
      </w:r>
    </w:p>
    <w:p w:rsidR="001E0B2F" w:rsidP="001E0B2F" w:rsidRDefault="001E0B2F" w14:paraId="1EBCB59A" w14:textId="0CA85DCF">
      <w:pPr>
        <w:pStyle w:val="ssNoHeading3"/>
        <w:numPr>
          <w:ilvl w:val="3"/>
          <w:numId w:val="76"/>
        </w:numPr>
        <w:tabs>
          <w:tab w:val="clear" w:pos="1418"/>
          <w:tab w:val="num" w:pos="2127"/>
        </w:tabs>
        <w:ind w:left="2127"/>
      </w:pPr>
      <w:r>
        <w:t xml:space="preserve">if, in the opinion of the Manager, the price obtained is unreliable or no recent traded price is available or exists </w:t>
      </w:r>
      <w:r>
        <w:rPr>
          <w:color w:val="000000"/>
        </w:rPr>
        <w:t>or if the most recent price available does not reflect the Manager’s best estimate of the value of the security</w:t>
      </w:r>
      <w:r>
        <w:t>, at a value which, in the opinion of the Manager, is fair and reasonable; and</w:t>
      </w:r>
    </w:p>
    <w:p w:rsidR="001E0B2F" w:rsidP="001E0B2F" w:rsidRDefault="001E0B2F" w14:paraId="488F948F" w14:textId="1743DABF">
      <w:pPr>
        <w:pStyle w:val="ssNoHeading2"/>
        <w:numPr>
          <w:ilvl w:val="2"/>
          <w:numId w:val="76"/>
        </w:numPr>
        <w:tabs>
          <w:tab w:val="clear" w:pos="709"/>
          <w:tab w:val="num" w:pos="1418"/>
        </w:tabs>
        <w:ind w:left="1418"/>
      </w:pPr>
      <w:r>
        <w:rPr>
          <w:spacing w:val="-2"/>
        </w:rPr>
        <w:t xml:space="preserve">Scheme </w:t>
      </w:r>
      <w:r>
        <w:t>Property other than that described above: at a value which, in the opinion of the Manager, is fair.</w:t>
      </w:r>
    </w:p>
    <w:p w:rsidR="001E0B2F" w:rsidP="001E0B2F" w:rsidRDefault="001E0B2F" w14:paraId="474313F5" w14:textId="77777777">
      <w:pPr>
        <w:pStyle w:val="ssNoHeading1"/>
        <w:numPr>
          <w:ilvl w:val="1"/>
          <w:numId w:val="76"/>
        </w:numPr>
      </w:pPr>
      <w:bookmarkStart w:name="_Ref92232453" w:id="348"/>
      <w:r>
        <w:t>Cash and amounts held in current, deposit and margin accounts and in other time-related deposits shall be valued at their nominal values.</w:t>
      </w:r>
      <w:bookmarkEnd w:id="348"/>
    </w:p>
    <w:p w:rsidR="001E0B2F" w:rsidP="001E0B2F" w:rsidRDefault="001E0B2F" w14:paraId="736167F5" w14:textId="6E0066B3">
      <w:pPr>
        <w:pStyle w:val="ssNoHeading1"/>
        <w:numPr>
          <w:ilvl w:val="1"/>
          <w:numId w:val="76"/>
        </w:numPr>
      </w:pPr>
      <w:bookmarkStart w:name="_Ref92232458" w:id="349"/>
      <w:r>
        <w:t xml:space="preserve">In determining the value of the Scheme Property, all instructions given to issue or cancel shares shall be assumed (unless the contrary is shown) to have been carried out and any cash payment made or received and all consequential action required by the Regulations or this </w:t>
      </w:r>
      <w:r w:rsidR="00695E22">
        <w:t>Deed</w:t>
      </w:r>
      <w:r>
        <w:t xml:space="preserve"> shall be assumed (unless the contrary has been shown) to have been taken.</w:t>
      </w:r>
      <w:bookmarkEnd w:id="349"/>
    </w:p>
    <w:p w:rsidR="001E0B2F" w:rsidP="001E0B2F" w:rsidRDefault="001E0B2F" w14:paraId="7ADE068E" w14:textId="0104B327">
      <w:pPr>
        <w:pStyle w:val="ssNoHeading1"/>
        <w:numPr>
          <w:ilvl w:val="1"/>
          <w:numId w:val="76"/>
        </w:numPr>
      </w:pPr>
      <w:bookmarkStart w:name="_Ref92231893" w:id="350"/>
      <w:r>
        <w:t xml:space="preserve">Subject to paragraphs </w:t>
      </w:r>
      <w:r>
        <w:fldChar w:fldCharType="begin"/>
      </w:r>
      <w:r>
        <w:instrText xml:space="preserve"> REF _Ref92231872  h \n</w:instrText>
      </w:r>
      <w:r>
        <w:fldChar w:fldCharType="separate"/>
      </w:r>
      <w:r w:rsidR="00663122">
        <w:rPr>
          <w:cs/>
        </w:rPr>
        <w:t>‎</w:t>
      </w:r>
      <w:r w:rsidR="00663122">
        <w:t>6</w:t>
      </w:r>
      <w:r>
        <w:fldChar w:fldCharType="end"/>
      </w:r>
      <w:r>
        <w:t xml:space="preserve"> and </w:t>
      </w:r>
      <w:r>
        <w:fldChar w:fldCharType="begin"/>
      </w:r>
      <w:r>
        <w:instrText xml:space="preserve"> REF _Ref92231880  h \n</w:instrText>
      </w:r>
      <w:r>
        <w:fldChar w:fldCharType="separate"/>
      </w:r>
      <w:r w:rsidR="00663122">
        <w:rPr>
          <w:cs/>
        </w:rPr>
        <w:t>‎</w:t>
      </w:r>
      <w:r w:rsidR="00663122">
        <w:t>7</w:t>
      </w:r>
      <w:r>
        <w:fldChar w:fldCharType="end"/>
      </w:r>
      <w:r>
        <w:t xml:space="preserve"> below, agreements for the unconditional sale or purchase of property which are in existence but uncompleted shall be assumed to have been completed and all consequential action required to have been taken. Such unconditional agreements need not be taken into account if made shortly before the valuation takes place and, in the opinion of the Manager, their omission shall not materially affect the final net asset amount.</w:t>
      </w:r>
      <w:bookmarkEnd w:id="350"/>
    </w:p>
    <w:p w:rsidR="001E0B2F" w:rsidP="001E0B2F" w:rsidRDefault="001E0B2F" w14:paraId="32AE6CCC" w14:textId="0424CC91">
      <w:pPr>
        <w:pStyle w:val="ssNoHeading1"/>
        <w:numPr>
          <w:ilvl w:val="1"/>
          <w:numId w:val="76"/>
        </w:numPr>
      </w:pPr>
      <w:bookmarkStart w:name="_Ref92231872" w:id="351"/>
      <w:bookmarkStart w:name="_Ref92231977" w:id="352"/>
      <w:r>
        <w:t xml:space="preserve">Futures or contracts for differences which are not yet due to be performed and unexpired and unexercised written or purchased options shall not be included under </w:t>
      </w:r>
      <w:bookmarkEnd w:id="351"/>
      <w:r>
        <w:t xml:space="preserve">paragraph </w:t>
      </w:r>
      <w:r>
        <w:fldChar w:fldCharType="begin"/>
      </w:r>
      <w:r>
        <w:instrText xml:space="preserve"> REF _Ref92231893  h \n</w:instrText>
      </w:r>
      <w:r>
        <w:fldChar w:fldCharType="separate"/>
      </w:r>
      <w:r w:rsidR="00663122">
        <w:rPr>
          <w:cs/>
        </w:rPr>
        <w:t>‎</w:t>
      </w:r>
      <w:r w:rsidR="00663122">
        <w:t>5</w:t>
      </w:r>
      <w:r>
        <w:fldChar w:fldCharType="end"/>
      </w:r>
      <w:bookmarkEnd w:id="352"/>
      <w:r>
        <w:t>.</w:t>
      </w:r>
    </w:p>
    <w:p w:rsidR="001E0B2F" w:rsidP="001E0B2F" w:rsidRDefault="001E0B2F" w14:paraId="6890A7A6" w14:textId="31142B2B">
      <w:pPr>
        <w:pStyle w:val="ssNoHeading1"/>
        <w:numPr>
          <w:ilvl w:val="1"/>
          <w:numId w:val="76"/>
        </w:numPr>
        <w:rPr>
          <w:color w:val="000000"/>
        </w:rPr>
      </w:pPr>
      <w:bookmarkStart w:name="_Ref92231880" w:id="353"/>
      <w:r>
        <w:t xml:space="preserve">All agreements are to be included under paragraph </w:t>
      </w:r>
      <w:r>
        <w:fldChar w:fldCharType="begin"/>
      </w:r>
      <w:r>
        <w:instrText xml:space="preserve"> REF _Ref92231893  h \n</w:instrText>
      </w:r>
      <w:r>
        <w:fldChar w:fldCharType="separate"/>
      </w:r>
      <w:r w:rsidR="00663122">
        <w:rPr>
          <w:cs/>
        </w:rPr>
        <w:t>‎</w:t>
      </w:r>
      <w:r w:rsidR="00663122">
        <w:t>5</w:t>
      </w:r>
      <w:r>
        <w:fldChar w:fldCharType="end"/>
      </w:r>
      <w:r>
        <w:t xml:space="preserve"> which are, or ought reasonably to have been, known to the person valuing the property assuming that all other persons in the Manager’s employment take all reasonable steps to inform it immediately of the making of any agreement.</w:t>
      </w:r>
      <w:bookmarkEnd w:id="353"/>
    </w:p>
    <w:p w:rsidR="001E0B2F" w:rsidP="001E0B2F" w:rsidRDefault="001E0B2F" w14:paraId="107C6778" w14:textId="77777777">
      <w:pPr>
        <w:pStyle w:val="ssNoHeading1"/>
        <w:numPr>
          <w:ilvl w:val="1"/>
          <w:numId w:val="76"/>
        </w:numPr>
      </w:pPr>
      <w:r>
        <w:t>Deduct an estimated amount for anticipated tax liabilities (on unrealised capital gains where the liabilities have accrued and are payable out of the Scheme Property; on realised capital gains in respect of previously completed and current accounting periods; and on income where liabilities have accrued) including (as applicable and without limitation) capital gains tax, income tax, corporation tax , value added tax, stamp duty and stamp duty reserve tax.</w:t>
      </w:r>
    </w:p>
    <w:p w:rsidR="001E0B2F" w:rsidP="001E0B2F" w:rsidRDefault="001E0B2F" w14:paraId="0F9A2A1C" w14:textId="77777777">
      <w:pPr>
        <w:pStyle w:val="ssNoHeading1"/>
        <w:numPr>
          <w:ilvl w:val="1"/>
          <w:numId w:val="76"/>
        </w:numPr>
      </w:pPr>
      <w:r>
        <w:t>Deduct an estimated amount for any liabilities payable out of the Scheme Property and any tax thereon treating periodic items as accruing from day to day.</w:t>
      </w:r>
    </w:p>
    <w:p w:rsidR="001E0B2F" w:rsidP="001E0B2F" w:rsidRDefault="001E0B2F" w14:paraId="284E1A89" w14:textId="77777777">
      <w:pPr>
        <w:pStyle w:val="ssNoHeading1"/>
        <w:numPr>
          <w:ilvl w:val="1"/>
          <w:numId w:val="76"/>
        </w:numPr>
      </w:pPr>
      <w:r>
        <w:t>Deduct the principal amount of any outstanding borrowings whenever payable and any accrued but unpaid interest on borrowings.</w:t>
      </w:r>
    </w:p>
    <w:p w:rsidR="001E0B2F" w:rsidP="001E0B2F" w:rsidRDefault="001E0B2F" w14:paraId="575CD39C" w14:textId="77777777">
      <w:pPr>
        <w:pStyle w:val="ssNoHeading1"/>
        <w:numPr>
          <w:ilvl w:val="1"/>
          <w:numId w:val="76"/>
        </w:numPr>
      </w:pPr>
      <w:r>
        <w:lastRenderedPageBreak/>
        <w:t>Add an estimated amount for accrued claims for tax of whatever nature which may be recoverable.</w:t>
      </w:r>
    </w:p>
    <w:p w:rsidR="001E0B2F" w:rsidP="001E0B2F" w:rsidRDefault="001E0B2F" w14:paraId="1F2ED959" w14:textId="77777777">
      <w:pPr>
        <w:pStyle w:val="ssNoHeading1"/>
        <w:numPr>
          <w:ilvl w:val="1"/>
          <w:numId w:val="76"/>
        </w:numPr>
      </w:pPr>
      <w:r>
        <w:t>Add any other credits or amounts due to be paid into the Scheme Property.</w:t>
      </w:r>
    </w:p>
    <w:p w:rsidR="001E0B2F" w:rsidP="001E0B2F" w:rsidRDefault="001E0B2F" w14:paraId="6354DE5B" w14:textId="77777777">
      <w:pPr>
        <w:pStyle w:val="ssNoHeading1"/>
        <w:numPr>
          <w:ilvl w:val="1"/>
          <w:numId w:val="76"/>
        </w:numPr>
      </w:pPr>
      <w:r>
        <w:t>Add a sum representing any interest or any income accrued due or deemed to have accrued but not received and any stamp duty reserve tax provision anticipated to be received.</w:t>
      </w:r>
    </w:p>
    <w:p w:rsidR="001E0B2F" w:rsidP="001E0B2F" w:rsidRDefault="001E0B2F" w14:paraId="49E33DA6" w14:textId="449E375D">
      <w:pPr>
        <w:pStyle w:val="ssNoHeading1"/>
        <w:numPr>
          <w:ilvl w:val="1"/>
          <w:numId w:val="76"/>
        </w:numPr>
        <w:rPr>
          <w:spacing w:val="-2"/>
        </w:rPr>
      </w:pPr>
      <w:r>
        <w:t>Currencies or values in currencies other than the base currency [or (as the case may be) the designated currency of a Sub-Fund]</w:t>
      </w:r>
      <w:r>
        <w:rPr>
          <w:rStyle w:val="EndnoteReference"/>
        </w:rPr>
        <w:endnoteReference w:id="64"/>
      </w:r>
      <w:r>
        <w:t xml:space="preserve"> shall be converted at the relevant </w:t>
      </w:r>
      <w:r w:rsidR="00605E8C">
        <w:t>Valuation</w:t>
      </w:r>
      <w:r w:rsidR="00D135F7">
        <w:t xml:space="preserve"> Point</w:t>
      </w:r>
      <w:r>
        <w:t xml:space="preserve"> at a rate of exchange that is not likely to result in any material prejudice to the interests of Unitholders or potential Unitholders.</w:t>
      </w:r>
    </w:p>
    <w:p w:rsidR="001E0B2F" w:rsidP="001E0B2F" w:rsidRDefault="001E0B2F" w14:paraId="2DC0D50F" w14:textId="77777777">
      <w:pPr>
        <w:pStyle w:val="ssNoHeading1"/>
        <w:numPr>
          <w:ilvl w:val="0"/>
          <w:numId w:val="0"/>
        </w:numPr>
        <w:tabs>
          <w:tab w:val="left" w:pos="720"/>
        </w:tabs>
        <w:rPr>
          <w:spacing w:val="-2"/>
        </w:rPr>
      </w:pPr>
      <w:r>
        <w:rPr>
          <w:bCs w:val="0"/>
        </w:rPr>
        <w:br w:type="page"/>
      </w:r>
    </w:p>
    <w:p w:rsidR="001E0B2F" w:rsidP="001E0B2F" w:rsidRDefault="001E0B2F" w14:paraId="59BA6C6D" w14:textId="77777777">
      <w:pPr>
        <w:pStyle w:val="ssPara1"/>
        <w:numPr>
          <w:ilvl w:val="1"/>
          <w:numId w:val="77"/>
        </w:numPr>
        <w:jc w:val="center"/>
        <w:rPr>
          <w:b/>
        </w:rPr>
      </w:pPr>
      <w:r>
        <w:rPr>
          <w:b/>
        </w:rPr>
        <w:lastRenderedPageBreak/>
        <w:t>[DUAL PRICED SCHEMES]</w:t>
      </w:r>
      <w:r>
        <w:rPr>
          <w:rStyle w:val="EndnoteReference"/>
          <w:bCs/>
        </w:rPr>
        <w:endnoteReference w:id="65"/>
      </w:r>
    </w:p>
    <w:p w:rsidR="001E0B2F" w:rsidP="001E0B2F" w:rsidRDefault="001E0B2F" w14:paraId="5FDE727A" w14:textId="77777777">
      <w:pPr>
        <w:pStyle w:val="ssRestartNumber"/>
        <w:numPr>
          <w:ilvl w:val="0"/>
          <w:numId w:val="76"/>
        </w:numPr>
        <w:rPr>
          <w:color w:val="303030" w:themeColor="text1"/>
        </w:rPr>
      </w:pPr>
    </w:p>
    <w:p w:rsidR="001E0B2F" w:rsidP="001E0B2F" w:rsidRDefault="001E0B2F" w14:paraId="73DAAD33" w14:textId="25B7FF0E">
      <w:pPr>
        <w:pStyle w:val="ssPara"/>
        <w:numPr>
          <w:ilvl w:val="0"/>
          <w:numId w:val="77"/>
        </w:numPr>
      </w:pPr>
      <w:bookmarkStart w:name="_DV_M198" w:id="354"/>
      <w:bookmarkEnd w:id="354"/>
      <w:r>
        <w:t>The value of the Scheme Property of the Scheme [or Sub-Fund (as the case may be)]</w:t>
      </w:r>
      <w:r>
        <w:rPr>
          <w:vertAlign w:val="superscript"/>
        </w:rPr>
        <w:t xml:space="preserve">2 </w:t>
      </w:r>
      <w:r>
        <w:t>shall be the value of its assets less the value of its liabilities determined in accordance with the following provisions. [For the purposes of calculating the Net Asset Value of the Scheme [or Sub-Fund (as the case may be)]</w:t>
      </w:r>
      <w:r>
        <w:rPr>
          <w:vertAlign w:val="superscript"/>
        </w:rPr>
        <w:t>2</w:t>
      </w:r>
      <w:r>
        <w:t>, any Side Pocket Assets attributable to any Special Investment Units in issue shall be excluded and shall instead be attributed to the appropriate Special Investment Unit(s).]</w:t>
      </w:r>
      <w:r>
        <w:rPr>
          <w:rStyle w:val="EndnoteReference"/>
        </w:rPr>
        <w:endnoteReference w:id="66"/>
      </w:r>
    </w:p>
    <w:p w:rsidR="001E0B2F" w:rsidP="001E0B2F" w:rsidRDefault="001E0B2F" w14:paraId="27337989" w14:textId="77777777">
      <w:pPr>
        <w:pStyle w:val="ssNoHeading1"/>
        <w:numPr>
          <w:ilvl w:val="1"/>
          <w:numId w:val="76"/>
        </w:numPr>
      </w:pPr>
      <w:r>
        <w:t>All the Scheme Property (including receivables) is to be included, subject to the following provisions.</w:t>
      </w:r>
    </w:p>
    <w:p w:rsidR="001E0B2F" w:rsidP="001E0B2F" w:rsidRDefault="001E0B2F" w14:paraId="7CCA47EB" w14:textId="77777777">
      <w:pPr>
        <w:pStyle w:val="ssNoHeading1"/>
        <w:numPr>
          <w:ilvl w:val="1"/>
          <w:numId w:val="76"/>
        </w:numPr>
      </w:pPr>
      <w:r>
        <w:t>The valuation of the Scheme Property shall consist of two parts, one on an issue basis and one on a cancellation basis calculated in accordance with the following provisions.</w:t>
      </w:r>
    </w:p>
    <w:p w:rsidR="001E0B2F" w:rsidP="001E0B2F" w:rsidRDefault="001E0B2F" w14:paraId="773609B0" w14:textId="77777777">
      <w:pPr>
        <w:pStyle w:val="ssNoHeading2"/>
        <w:numPr>
          <w:ilvl w:val="2"/>
          <w:numId w:val="76"/>
        </w:numPr>
        <w:tabs>
          <w:tab w:val="clear" w:pos="709"/>
          <w:tab w:val="num" w:pos="1418"/>
        </w:tabs>
        <w:ind w:left="1418"/>
      </w:pPr>
      <w:r>
        <w:t>The valuation of property for that part of the valuation which is on an issue basis is as follows:</w:t>
      </w:r>
    </w:p>
    <w:p w:rsidR="001E0B2F" w:rsidP="001E0B2F" w:rsidRDefault="001E0B2F" w14:paraId="6F1EA6EF" w14:textId="50A5F6A2">
      <w:pPr>
        <w:pStyle w:val="ssNoHeading3"/>
        <w:numPr>
          <w:ilvl w:val="3"/>
          <w:numId w:val="76"/>
        </w:numPr>
        <w:tabs>
          <w:tab w:val="clear" w:pos="1418"/>
          <w:tab w:val="num" w:pos="2127"/>
        </w:tabs>
        <w:ind w:left="2127"/>
      </w:pPr>
      <w:r>
        <w:t xml:space="preserve">Scheme Property which is not cash (or other assets dealt with in paragraphs </w:t>
      </w:r>
      <w:r>
        <w:fldChar w:fldCharType="begin"/>
      </w:r>
      <w:r>
        <w:instrText xml:space="preserve"> REF _Ref92232486 \r \h </w:instrText>
      </w:r>
      <w:r>
        <w:fldChar w:fldCharType="separate"/>
      </w:r>
      <w:r w:rsidR="00663122">
        <w:rPr>
          <w:cs/>
        </w:rPr>
        <w:t>‎</w:t>
      </w:r>
      <w:r w:rsidR="00663122">
        <w:t>3</w:t>
      </w:r>
      <w:r>
        <w:fldChar w:fldCharType="end"/>
      </w:r>
      <w:r>
        <w:t xml:space="preserve"> and </w:t>
      </w:r>
      <w:r>
        <w:fldChar w:fldCharType="begin"/>
      </w:r>
      <w:r>
        <w:instrText xml:space="preserve"> REF _Ref92232490 \r \h </w:instrText>
      </w:r>
      <w:r>
        <w:fldChar w:fldCharType="separate"/>
      </w:r>
      <w:r w:rsidR="00663122">
        <w:rPr>
          <w:cs/>
        </w:rPr>
        <w:t>‎</w:t>
      </w:r>
      <w:r w:rsidR="00663122">
        <w:t>4</w:t>
      </w:r>
      <w:r>
        <w:fldChar w:fldCharType="end"/>
      </w:r>
      <w:r>
        <w:t xml:space="preserve"> below) shall be valued as follows and the prices used shall (subject as follows) be the most recent prices which it is practicable to obtain:</w:t>
      </w:r>
    </w:p>
    <w:p w:rsidR="001E0B2F" w:rsidP="001E0B2F" w:rsidRDefault="001E0B2F" w14:paraId="05F724BA" w14:textId="77777777">
      <w:pPr>
        <w:pStyle w:val="ssNoHeading4"/>
        <w:numPr>
          <w:ilvl w:val="4"/>
          <w:numId w:val="76"/>
        </w:numPr>
        <w:tabs>
          <w:tab w:val="clear" w:pos="1985"/>
          <w:tab w:val="num" w:pos="2694"/>
        </w:tabs>
        <w:ind w:left="2694"/>
      </w:pPr>
      <w:r>
        <w:t>units or shares in a collective investment scheme:</w:t>
      </w:r>
    </w:p>
    <w:p w:rsidR="001E0B2F" w:rsidP="001E0B2F" w:rsidRDefault="001E0B2F" w14:paraId="75489775" w14:textId="2031A165">
      <w:pPr>
        <w:pStyle w:val="ssNoHeading5"/>
        <w:numPr>
          <w:ilvl w:val="5"/>
          <w:numId w:val="76"/>
        </w:numPr>
        <w:tabs>
          <w:tab w:val="clear" w:pos="2552"/>
          <w:tab w:val="num" w:pos="3261"/>
        </w:tabs>
        <w:ind w:left="3261"/>
      </w:pPr>
      <w:r>
        <w:t xml:space="preserve">if a single price for buying and selling units or shares is quoted, at that price </w:t>
      </w:r>
      <w:bookmarkStart w:name="_DV_M205" w:id="355"/>
      <w:bookmarkEnd w:id="355"/>
      <w:r>
        <w:t>plus any dealing costs (as defined below), any preliminary charge payable by the Scheme on the purchase of the units or shares, and any dilution levy or SDRT provision which would be added in the event of a purchase by the Scheme of the units or shares in question (except that, where the Manager, or an associate of the Manager, is also the manager or authorised corporate director of the collective investment scheme whose units or shares are held by the Scheme, the valuation must not include any preliminary charge payable in the event of a purchase of those units or shares);</w:t>
      </w:r>
      <w:r>
        <w:rPr>
          <w:b/>
          <w:bCs/>
          <w:i/>
          <w:iCs/>
        </w:rPr>
        <w:t xml:space="preserve"> </w:t>
      </w:r>
      <w:r>
        <w:t>or</w:t>
      </w:r>
    </w:p>
    <w:p w:rsidR="001E0B2F" w:rsidP="001E0B2F" w:rsidRDefault="001E0B2F" w14:paraId="7CE763ED" w14:textId="150CEB68">
      <w:pPr>
        <w:pStyle w:val="ssNoHeading5"/>
        <w:numPr>
          <w:ilvl w:val="5"/>
          <w:numId w:val="76"/>
        </w:numPr>
        <w:tabs>
          <w:tab w:val="clear" w:pos="2552"/>
          <w:tab w:val="num" w:pos="3261"/>
        </w:tabs>
        <w:ind w:left="3261"/>
      </w:pPr>
      <w:bookmarkStart w:name="_DV_M206" w:id="356"/>
      <w:bookmarkEnd w:id="356"/>
      <w:r>
        <w:t xml:space="preserve">if separate buying </w:t>
      </w:r>
      <w:bookmarkStart w:name="_DV_C14" w:id="357"/>
      <w:r>
        <w:t xml:space="preserve">(offer) </w:t>
      </w:r>
      <w:bookmarkStart w:name="_DV_M207" w:id="358"/>
      <w:bookmarkEnd w:id="357"/>
      <w:bookmarkEnd w:id="358"/>
      <w:r>
        <w:t xml:space="preserve">and selling </w:t>
      </w:r>
      <w:bookmarkStart w:name="_DV_C15" w:id="359"/>
      <w:r>
        <w:t xml:space="preserve">(bid) </w:t>
      </w:r>
      <w:bookmarkEnd w:id="359"/>
      <w:r>
        <w:t xml:space="preserve">prices are quoted, at the buying price, less any expected discount plus any dealing costs (as defined below), but where the Manager, or an associate of the Manager, is also the manager or authorised corporate director of the collective investment scheme whose units or shares are held by the Scheme, the issue price shall be taken instead of the </w:t>
      </w:r>
      <w:bookmarkStart w:name="_DV_C22" w:id="360"/>
      <w:r>
        <w:t>buying</w:t>
      </w:r>
      <w:bookmarkEnd w:id="360"/>
      <w:r>
        <w:t xml:space="preserve"> price; or</w:t>
      </w:r>
    </w:p>
    <w:p w:rsidR="001E0B2F" w:rsidP="001E0B2F" w:rsidRDefault="001E0B2F" w14:paraId="53F18830" w14:textId="6A1EEBE2">
      <w:pPr>
        <w:pStyle w:val="ssNoHeading5"/>
        <w:numPr>
          <w:ilvl w:val="5"/>
          <w:numId w:val="76"/>
        </w:numPr>
        <w:tabs>
          <w:tab w:val="clear" w:pos="2552"/>
          <w:tab w:val="num" w:pos="3261"/>
        </w:tabs>
        <w:ind w:left="3261"/>
      </w:pPr>
      <w:r>
        <w:t>if, in the opinion of the Manager, the price obtained is unreliable or no recent traded price is available or if no recent price exists or if the most recent price available does not reflect the Manager’s best estimate of the value, at a value which, in the opinion of the Manager, is fair and reasonable;</w:t>
      </w:r>
    </w:p>
    <w:p w:rsidR="001E0B2F" w:rsidP="001E0B2F" w:rsidRDefault="001E0B2F" w14:paraId="74027479" w14:textId="77777777">
      <w:pPr>
        <w:pStyle w:val="ssNoHeading4"/>
        <w:numPr>
          <w:ilvl w:val="4"/>
          <w:numId w:val="76"/>
        </w:numPr>
        <w:tabs>
          <w:tab w:val="clear" w:pos="1985"/>
          <w:tab w:val="num" w:pos="2694"/>
        </w:tabs>
        <w:ind w:left="2694"/>
      </w:pPr>
      <w:r>
        <w:t>[immovable property:</w:t>
      </w:r>
    </w:p>
    <w:p w:rsidR="001E0B2F" w:rsidP="001E0B2F" w:rsidRDefault="001E0B2F" w14:paraId="1D3B3A66" w14:textId="30856157">
      <w:pPr>
        <w:pStyle w:val="ssNoHeading5"/>
        <w:numPr>
          <w:ilvl w:val="5"/>
          <w:numId w:val="76"/>
        </w:numPr>
        <w:tabs>
          <w:tab w:val="clear" w:pos="2552"/>
          <w:tab w:val="num" w:pos="3261"/>
        </w:tabs>
        <w:ind w:left="3261"/>
      </w:pPr>
      <w:r>
        <w:t xml:space="preserve">by a standing independent valuer (as defined in the </w:t>
      </w:r>
      <w:r w:rsidR="007550BE">
        <w:t>G</w:t>
      </w:r>
      <w:r>
        <w:t xml:space="preserve">lossary) [appointed by the Manager with the approval of the Depositary], in accordance with UKVPS 3 and 2.3 of UKVPGA 2 of the RICS </w:t>
      </w:r>
      <w:r>
        <w:lastRenderedPageBreak/>
        <w:t xml:space="preserve">Valuation – Global Standards 2017 national supplement 2018 (the RICS Red Book) as updated and amended from time to time, or, in the case of overseas immovables (if any) on an appropriate basis, but subject to any other provision of this </w:t>
      </w:r>
      <w:r w:rsidR="00695E22">
        <w:t>Deed</w:t>
      </w:r>
      <w:r>
        <w:t>;</w:t>
      </w:r>
    </w:p>
    <w:p w:rsidR="001E0B2F" w:rsidP="001E0B2F" w:rsidRDefault="001E0B2F" w14:paraId="043C1906" w14:textId="77777777">
      <w:pPr>
        <w:pStyle w:val="ssNoHeading5"/>
        <w:numPr>
          <w:ilvl w:val="5"/>
          <w:numId w:val="76"/>
        </w:numPr>
        <w:tabs>
          <w:tab w:val="clear" w:pos="2552"/>
          <w:tab w:val="num" w:pos="3261"/>
        </w:tabs>
        <w:ind w:left="3261"/>
      </w:pPr>
      <w:r>
        <w:t>on the basis of a full valuation with physical inspection (including, where the immovable is or includes a building, internal inspection), at least once a year; and</w:t>
      </w:r>
    </w:p>
    <w:p w:rsidR="001E0B2F" w:rsidP="001E0B2F" w:rsidRDefault="001E0B2F" w14:paraId="1098B6FA" w14:textId="77777777">
      <w:pPr>
        <w:pStyle w:val="ssNoHeading5"/>
        <w:numPr>
          <w:ilvl w:val="5"/>
          <w:numId w:val="76"/>
        </w:numPr>
        <w:tabs>
          <w:tab w:val="clear" w:pos="2552"/>
          <w:tab w:val="num" w:pos="3261"/>
        </w:tabs>
        <w:ind w:left="3261"/>
      </w:pPr>
      <w:r>
        <w:t>on the basis of the last full valuation, at least once a month.;]</w:t>
      </w:r>
      <w:r>
        <w:rPr>
          <w:rStyle w:val="EndnoteReference"/>
        </w:rPr>
        <w:endnoteReference w:id="67"/>
      </w:r>
    </w:p>
    <w:p w:rsidR="001E0B2F" w:rsidP="001E0B2F" w:rsidRDefault="001E0B2F" w14:paraId="4DB04659" w14:textId="77777777">
      <w:pPr>
        <w:pStyle w:val="ssPara3"/>
        <w:numPr>
          <w:ilvl w:val="3"/>
          <w:numId w:val="77"/>
        </w:numPr>
        <w:tabs>
          <w:tab w:val="left" w:pos="2694"/>
        </w:tabs>
        <w:ind w:left="2694" w:hanging="709"/>
      </w:pPr>
      <w:r>
        <w:rPr>
          <w:color w:val="000000"/>
        </w:rPr>
        <w:t>[(2)/(3)]</w:t>
      </w:r>
      <w:r>
        <w:rPr>
          <w:color w:val="000000"/>
        </w:rPr>
        <w:tab/>
      </w:r>
      <w:r>
        <w:t>exchange-traded derivative contracts:</w:t>
      </w:r>
    </w:p>
    <w:p w:rsidR="001E0B2F" w:rsidP="001E0B2F" w:rsidRDefault="001E0B2F" w14:paraId="7E87A0A4" w14:textId="77777777">
      <w:pPr>
        <w:pStyle w:val="Heading5"/>
        <w:numPr>
          <w:ilvl w:val="5"/>
          <w:numId w:val="78"/>
        </w:numPr>
        <w:tabs>
          <w:tab w:val="clear" w:pos="2552"/>
          <w:tab w:val="num" w:pos="3261"/>
        </w:tabs>
        <w:ind w:left="3261" w:firstLine="0"/>
        <w:rPr>
          <w:b w:val="0"/>
          <w:bCs/>
        </w:rPr>
      </w:pPr>
      <w:r>
        <w:rPr>
          <w:b w:val="0"/>
          <w:bCs/>
        </w:rPr>
        <w:t>if a single price for buying and selling the exchange-traded derivative contract is quoted, at that price; or</w:t>
      </w:r>
    </w:p>
    <w:p w:rsidR="001E0B2F" w:rsidP="001E0B2F" w:rsidRDefault="001E0B2F" w14:paraId="342AAB64" w14:textId="77777777">
      <w:pPr>
        <w:pStyle w:val="Heading5"/>
        <w:numPr>
          <w:ilvl w:val="5"/>
          <w:numId w:val="78"/>
        </w:numPr>
        <w:tabs>
          <w:tab w:val="clear" w:pos="2552"/>
          <w:tab w:val="num" w:pos="3261"/>
        </w:tabs>
        <w:ind w:left="3261" w:firstLine="0"/>
        <w:rPr>
          <w:b w:val="0"/>
          <w:bCs/>
        </w:rPr>
      </w:pPr>
      <w:r>
        <w:rPr>
          <w:b w:val="0"/>
          <w:bCs/>
        </w:rPr>
        <w:t xml:space="preserve">if separate buying and selling prices are quoted, at the average of the two prices; </w:t>
      </w:r>
    </w:p>
    <w:p w:rsidR="001E0B2F" w:rsidP="001E0B2F" w:rsidRDefault="001E0B2F" w14:paraId="63FDDFE3" w14:textId="37A2152A">
      <w:pPr>
        <w:pStyle w:val="ssPara3"/>
        <w:numPr>
          <w:ilvl w:val="3"/>
          <w:numId w:val="77"/>
        </w:numPr>
        <w:tabs>
          <w:tab w:val="left" w:pos="2694"/>
        </w:tabs>
        <w:ind w:left="2694" w:hanging="709"/>
        <w:rPr>
          <w:color w:val="000000"/>
        </w:rPr>
      </w:pPr>
      <w:r>
        <w:t>[(3)/(4)]</w:t>
      </w:r>
      <w:r>
        <w:tab/>
        <w:t>over-the-counter derivative contracts shall be valued in accordance with the method of valuation as shall have been agreed between the Manager and the Depositary</w:t>
      </w:r>
      <w:r>
        <w:rPr>
          <w:color w:val="000000"/>
        </w:rPr>
        <w:t>;</w:t>
      </w:r>
      <w:r>
        <w:rPr>
          <w:rStyle w:val="EndnoteReference"/>
        </w:rPr>
        <w:endnoteReference w:id="68"/>
      </w:r>
    </w:p>
    <w:p w:rsidR="001E0B2F" w:rsidP="001E0B2F" w:rsidRDefault="001E0B2F" w14:paraId="1D82E906" w14:textId="77777777">
      <w:pPr>
        <w:pStyle w:val="ssPara3"/>
        <w:numPr>
          <w:ilvl w:val="3"/>
          <w:numId w:val="77"/>
        </w:numPr>
        <w:tabs>
          <w:tab w:val="left" w:pos="2694"/>
        </w:tabs>
        <w:ind w:left="2694" w:hanging="709"/>
      </w:pPr>
      <w:r>
        <w:t>[(4)/(5)]</w:t>
      </w:r>
      <w:r>
        <w:tab/>
        <w:t>any other investment:</w:t>
      </w:r>
    </w:p>
    <w:p w:rsidR="001E0B2F" w:rsidP="001E0B2F" w:rsidRDefault="001E0B2F" w14:paraId="423251B0" w14:textId="77777777">
      <w:pPr>
        <w:pStyle w:val="Heading5"/>
        <w:numPr>
          <w:ilvl w:val="5"/>
          <w:numId w:val="79"/>
        </w:numPr>
        <w:tabs>
          <w:tab w:val="clear" w:pos="2552"/>
          <w:tab w:val="num" w:pos="3261"/>
        </w:tabs>
        <w:ind w:left="3261" w:firstLine="0"/>
        <w:rPr>
          <w:b w:val="0"/>
          <w:bCs/>
        </w:rPr>
      </w:pPr>
      <w:r>
        <w:rPr>
          <w:b w:val="0"/>
          <w:bCs/>
        </w:rPr>
        <w:t>the best available market dealing offer price on the most appropriate market in a standard size (plus any dealing costs, (as defined below)); or</w:t>
      </w:r>
    </w:p>
    <w:p w:rsidR="001E0B2F" w:rsidP="001E0B2F" w:rsidRDefault="001E0B2F" w14:paraId="1F74A3DB" w14:textId="0A293BCF">
      <w:pPr>
        <w:pStyle w:val="Heading5"/>
        <w:numPr>
          <w:ilvl w:val="5"/>
          <w:numId w:val="79"/>
        </w:numPr>
        <w:tabs>
          <w:tab w:val="clear" w:pos="2552"/>
          <w:tab w:val="num" w:pos="3261"/>
        </w:tabs>
        <w:ind w:left="3261" w:firstLine="0"/>
        <w:rPr>
          <w:b w:val="0"/>
          <w:bCs/>
        </w:rPr>
      </w:pPr>
      <w:r>
        <w:rPr>
          <w:b w:val="0"/>
          <w:bCs/>
        </w:rPr>
        <w:t>if, in the opinion of the Manager, the price obtained is unreliable or no recent traded price is available or if the most recent price available does not reflect the Manager’s best estimate of the value, at a value which, in the opinion of the Manager, is fair and reasonable; and</w:t>
      </w:r>
    </w:p>
    <w:p w:rsidR="001E0B2F" w:rsidP="001E0B2F" w:rsidRDefault="001E0B2F" w14:paraId="58BED702" w14:textId="65E5596D">
      <w:pPr>
        <w:pStyle w:val="ssPara3"/>
        <w:numPr>
          <w:ilvl w:val="3"/>
          <w:numId w:val="77"/>
        </w:numPr>
        <w:tabs>
          <w:tab w:val="left" w:pos="2694"/>
        </w:tabs>
        <w:ind w:left="2694" w:hanging="709"/>
      </w:pPr>
      <w:r>
        <w:t>[(5)/(6)]</w:t>
      </w:r>
      <w:r>
        <w:tab/>
        <w:t>Scheme Property other than that described in [(1), (2), (3) and (4)]/[(1), (2), (3), (4) and (5)] above: at a value which, in the opinion of the Manager, is fair and reasonable (plus any dealing costs (as defined below)).</w:t>
      </w:r>
    </w:p>
    <w:p w:rsidR="001E0B2F" w:rsidP="001E0B2F" w:rsidRDefault="001E0B2F" w14:paraId="2C4B4863" w14:textId="77777777">
      <w:pPr>
        <w:pStyle w:val="ssNoHeading2"/>
        <w:numPr>
          <w:ilvl w:val="2"/>
          <w:numId w:val="76"/>
        </w:numPr>
        <w:tabs>
          <w:tab w:val="clear" w:pos="709"/>
          <w:tab w:val="num" w:pos="1418"/>
        </w:tabs>
        <w:ind w:left="1418"/>
      </w:pPr>
      <w:r>
        <w:t>The valuation of Scheme Property for that part of the valuation which is on a cancellation basis is as follows:</w:t>
      </w:r>
    </w:p>
    <w:p w:rsidR="001E0B2F" w:rsidP="001E0B2F" w:rsidRDefault="001E0B2F" w14:paraId="5F24BD94" w14:textId="72F2ECD5">
      <w:pPr>
        <w:pStyle w:val="ssNoHeading3"/>
        <w:numPr>
          <w:ilvl w:val="3"/>
          <w:numId w:val="76"/>
        </w:numPr>
        <w:tabs>
          <w:tab w:val="clear" w:pos="1418"/>
          <w:tab w:val="num" w:pos="2127"/>
        </w:tabs>
        <w:ind w:left="2127"/>
      </w:pPr>
      <w:r>
        <w:t xml:space="preserve">Scheme Property which is not cash (or other assets dealt with in paragraphs </w:t>
      </w:r>
      <w:r>
        <w:fldChar w:fldCharType="begin"/>
      </w:r>
      <w:r>
        <w:instrText xml:space="preserve"> REF _Ref92232486 \r \h </w:instrText>
      </w:r>
      <w:r>
        <w:fldChar w:fldCharType="separate"/>
      </w:r>
      <w:r w:rsidR="00663122">
        <w:rPr>
          <w:cs/>
        </w:rPr>
        <w:t>‎</w:t>
      </w:r>
      <w:r w:rsidR="00663122">
        <w:t>3</w:t>
      </w:r>
      <w:r>
        <w:fldChar w:fldCharType="end"/>
      </w:r>
      <w:r>
        <w:t xml:space="preserve"> and </w:t>
      </w:r>
      <w:r>
        <w:fldChar w:fldCharType="begin"/>
      </w:r>
      <w:r>
        <w:instrText xml:space="preserve"> REF _Ref92232490 \r \h </w:instrText>
      </w:r>
      <w:r>
        <w:fldChar w:fldCharType="separate"/>
      </w:r>
      <w:r w:rsidR="00663122">
        <w:rPr>
          <w:cs/>
        </w:rPr>
        <w:t>‎</w:t>
      </w:r>
      <w:r w:rsidR="00663122">
        <w:t>4</w:t>
      </w:r>
      <w:r>
        <w:fldChar w:fldCharType="end"/>
      </w:r>
      <w:r>
        <w:t xml:space="preserve"> below) shall be valued as follows and the prices used shall (subject as follows) be the most recent prices which it is practicable to obtain:</w:t>
      </w:r>
    </w:p>
    <w:p w:rsidR="001E0B2F" w:rsidP="001E0B2F" w:rsidRDefault="001E0B2F" w14:paraId="1F89B8C6" w14:textId="77777777">
      <w:pPr>
        <w:pStyle w:val="ssNoHeading4"/>
        <w:numPr>
          <w:ilvl w:val="4"/>
          <w:numId w:val="76"/>
        </w:numPr>
        <w:tabs>
          <w:tab w:val="clear" w:pos="1985"/>
          <w:tab w:val="num" w:pos="2694"/>
        </w:tabs>
        <w:ind w:left="2694"/>
      </w:pPr>
      <w:r>
        <w:t>units or shares in a collective investment scheme:</w:t>
      </w:r>
      <w:bookmarkStart w:name="_Ref148429061" w:id="361"/>
      <w:bookmarkEnd w:id="361"/>
    </w:p>
    <w:p w:rsidR="001E0B2F" w:rsidP="001E0B2F" w:rsidRDefault="001E0B2F" w14:paraId="01824DE3" w14:textId="722BE6DF">
      <w:pPr>
        <w:pStyle w:val="Heading5"/>
        <w:numPr>
          <w:ilvl w:val="5"/>
          <w:numId w:val="79"/>
        </w:numPr>
        <w:tabs>
          <w:tab w:val="clear" w:pos="2552"/>
          <w:tab w:val="num" w:pos="3261"/>
        </w:tabs>
        <w:ind w:left="3261" w:firstLine="0"/>
        <w:rPr>
          <w:b w:val="0"/>
          <w:bCs/>
        </w:rPr>
      </w:pPr>
      <w:r>
        <w:rPr>
          <w:b w:val="0"/>
          <w:bCs/>
        </w:rPr>
        <w:lastRenderedPageBreak/>
        <w:t xml:space="preserve">if a single price for buying and selling units or shares is quoted, at that price (less any dealing costs (as defined below), any redemption charge payable by the Scheme on the sale of the units or shares, (taking account of any expected discount) and any dilution levy or other provision which would be deducted in the event of a sale of the units or shares (except that, where the Manager, or an associate of the Manager, is also the manager or authorised corporate director of the collective investment scheme whose units or shares are held by the Scheme, </w:t>
      </w:r>
      <w:bookmarkStart w:name="_DV_C24" w:id="362"/>
      <w:r>
        <w:rPr>
          <w:b w:val="0"/>
          <w:bCs/>
        </w:rPr>
        <w:t>any</w:t>
      </w:r>
      <w:bookmarkEnd w:id="362"/>
      <w:r>
        <w:rPr>
          <w:b w:val="0"/>
          <w:bCs/>
        </w:rPr>
        <w:t xml:space="preserve"> redemption charge payable in the event of a sale of those units or shares must not be deducted)); or</w:t>
      </w:r>
    </w:p>
    <w:p w:rsidR="001E0B2F" w:rsidP="001E0B2F" w:rsidRDefault="001E0B2F" w14:paraId="7EF2BBA7" w14:textId="32F2447D">
      <w:pPr>
        <w:pStyle w:val="Heading5"/>
        <w:numPr>
          <w:ilvl w:val="5"/>
          <w:numId w:val="79"/>
        </w:numPr>
        <w:tabs>
          <w:tab w:val="clear" w:pos="2552"/>
          <w:tab w:val="num" w:pos="3261"/>
        </w:tabs>
        <w:ind w:left="3261" w:firstLine="0"/>
        <w:rPr>
          <w:b w:val="0"/>
          <w:bCs/>
        </w:rPr>
      </w:pPr>
      <w:r>
        <w:rPr>
          <w:b w:val="0"/>
          <w:bCs/>
        </w:rPr>
        <w:t xml:space="preserve">if separate buying (offer) and selling (bid) prices are quoted, at the selling price less any dealing costs (as defined below) and any redemption charge payable on the sale of the units or shares </w:t>
      </w:r>
      <w:bookmarkStart w:name="_DV_C28" w:id="363"/>
      <w:r>
        <w:rPr>
          <w:b w:val="0"/>
          <w:bCs/>
        </w:rPr>
        <w:t>taking account of any expected discount</w:t>
      </w:r>
      <w:bookmarkEnd w:id="363"/>
      <w:r>
        <w:rPr>
          <w:b w:val="0"/>
          <w:bCs/>
        </w:rPr>
        <w:t xml:space="preserve"> </w:t>
      </w:r>
      <w:bookmarkStart w:name="_DV_M234" w:id="364"/>
      <w:bookmarkEnd w:id="364"/>
      <w:r>
        <w:rPr>
          <w:b w:val="0"/>
          <w:bCs/>
        </w:rPr>
        <w:t xml:space="preserve">(except that, where the Manager, or an associate of the Manager, is also the manager or authorised corporate director of the collective investment scheme whose units or shares are held by the Scheme, </w:t>
      </w:r>
      <w:bookmarkStart w:name="_DV_M236" w:id="365"/>
      <w:bookmarkEnd w:id="365"/>
      <w:r>
        <w:rPr>
          <w:b w:val="0"/>
          <w:bCs/>
        </w:rPr>
        <w:t>the cancellation price shall be taken instead of the selling price; or</w:t>
      </w:r>
    </w:p>
    <w:p w:rsidR="001E0B2F" w:rsidP="001E0B2F" w:rsidRDefault="001E0B2F" w14:paraId="4115ECBB" w14:textId="1888971F">
      <w:pPr>
        <w:pStyle w:val="Heading5"/>
        <w:numPr>
          <w:ilvl w:val="5"/>
          <w:numId w:val="79"/>
        </w:numPr>
        <w:tabs>
          <w:tab w:val="clear" w:pos="2552"/>
          <w:tab w:val="num" w:pos="3261"/>
        </w:tabs>
        <w:ind w:left="3261" w:firstLine="0"/>
        <w:rPr>
          <w:b w:val="0"/>
          <w:bCs/>
        </w:rPr>
      </w:pPr>
      <w:r>
        <w:rPr>
          <w:b w:val="0"/>
          <w:bCs/>
        </w:rPr>
        <w:t xml:space="preserve">if, in the opinion of the Manager, the price obtained is unreliable or no recent traded price is available or if no recent price exists or if the most recent price available does not reflect the Manager’s best estimate of the value, at a value which, in the opinion of the Manager, is fair and reasonable; </w:t>
      </w:r>
    </w:p>
    <w:p w:rsidR="001E0B2F" w:rsidP="001E0B2F" w:rsidRDefault="001E0B2F" w14:paraId="01279914" w14:textId="77777777">
      <w:pPr>
        <w:pStyle w:val="ssNoHeading4"/>
        <w:numPr>
          <w:ilvl w:val="4"/>
          <w:numId w:val="76"/>
        </w:numPr>
        <w:tabs>
          <w:tab w:val="clear" w:pos="1985"/>
          <w:tab w:val="num" w:pos="2694"/>
        </w:tabs>
        <w:ind w:left="2694"/>
      </w:pPr>
      <w:r>
        <w:t>[immovable property:</w:t>
      </w:r>
    </w:p>
    <w:p w:rsidR="001E0B2F" w:rsidP="001E0B2F" w:rsidRDefault="001E0B2F" w14:paraId="67285141" w14:textId="7E91CE42">
      <w:pPr>
        <w:pStyle w:val="Heading5"/>
        <w:numPr>
          <w:ilvl w:val="5"/>
          <w:numId w:val="79"/>
        </w:numPr>
        <w:tabs>
          <w:tab w:val="clear" w:pos="2552"/>
          <w:tab w:val="num" w:pos="3261"/>
        </w:tabs>
        <w:ind w:left="3261" w:firstLine="0"/>
        <w:rPr>
          <w:b w:val="0"/>
          <w:bCs/>
        </w:rPr>
      </w:pPr>
      <w:bookmarkStart w:name="_DV_M239" w:id="366"/>
      <w:bookmarkStart w:name="_DV_M240" w:id="367"/>
      <w:bookmarkEnd w:id="366"/>
      <w:bookmarkEnd w:id="367"/>
      <w:r>
        <w:rPr>
          <w:b w:val="0"/>
          <w:bCs/>
        </w:rPr>
        <w:t xml:space="preserve">by a standing independent valuer (as defined in the </w:t>
      </w:r>
      <w:r w:rsidR="007550BE">
        <w:rPr>
          <w:b w:val="0"/>
          <w:bCs/>
        </w:rPr>
        <w:t>G</w:t>
      </w:r>
      <w:r>
        <w:rPr>
          <w:b w:val="0"/>
          <w:bCs/>
        </w:rPr>
        <w:t xml:space="preserve">lossary) [appointed by the Manager with the approval of the Depositary], in accordance with UKVPS 3 and 2.3 of UKVPGA 2 of the RICS Valuation – Global Standards 2017 national supplement 2018 (the RICS Red Book) as updated and amended from time to time or, in the case of overseas immovables (if any) on an appropriate basis, but subject to any other provision of this </w:t>
      </w:r>
      <w:r w:rsidR="00695E22">
        <w:rPr>
          <w:b w:val="0"/>
          <w:bCs/>
        </w:rPr>
        <w:t>Deed</w:t>
      </w:r>
      <w:r>
        <w:rPr>
          <w:b w:val="0"/>
          <w:bCs/>
        </w:rPr>
        <w:t>;</w:t>
      </w:r>
    </w:p>
    <w:p w:rsidR="001E0B2F" w:rsidP="001E0B2F" w:rsidRDefault="001E0B2F" w14:paraId="10C22546" w14:textId="77777777">
      <w:pPr>
        <w:pStyle w:val="Heading5"/>
        <w:numPr>
          <w:ilvl w:val="5"/>
          <w:numId w:val="79"/>
        </w:numPr>
        <w:tabs>
          <w:tab w:val="clear" w:pos="2552"/>
          <w:tab w:val="num" w:pos="3261"/>
        </w:tabs>
        <w:ind w:left="3261" w:firstLine="0"/>
        <w:rPr>
          <w:b w:val="0"/>
          <w:bCs/>
        </w:rPr>
      </w:pPr>
      <w:bookmarkStart w:name="_DV_M241" w:id="368"/>
      <w:bookmarkEnd w:id="368"/>
      <w:r>
        <w:rPr>
          <w:b w:val="0"/>
          <w:bCs/>
        </w:rPr>
        <w:t>on the basis of a full valuation with physical inspection (including, where the immovable is or includes a building, internal inspection), at least once a year; and</w:t>
      </w:r>
    </w:p>
    <w:p w:rsidR="001E0B2F" w:rsidP="001E0B2F" w:rsidRDefault="001E0B2F" w14:paraId="031CBAA3" w14:textId="77777777">
      <w:pPr>
        <w:pStyle w:val="Heading5"/>
        <w:numPr>
          <w:ilvl w:val="5"/>
          <w:numId w:val="79"/>
        </w:numPr>
        <w:tabs>
          <w:tab w:val="clear" w:pos="2552"/>
          <w:tab w:val="num" w:pos="3261"/>
        </w:tabs>
        <w:ind w:left="3261" w:firstLine="0"/>
        <w:rPr>
          <w:b w:val="0"/>
          <w:bCs/>
        </w:rPr>
      </w:pPr>
      <w:bookmarkStart w:name="_DV_M242" w:id="369"/>
      <w:bookmarkEnd w:id="369"/>
      <w:r>
        <w:rPr>
          <w:b w:val="0"/>
          <w:bCs/>
        </w:rPr>
        <w:t>on the basis of the last full valuation, at least once a month;]</w:t>
      </w:r>
      <w:r>
        <w:rPr>
          <w:rStyle w:val="EndnoteReference"/>
          <w:b w:val="0"/>
          <w:bCs/>
        </w:rPr>
        <w:endnoteReference w:id="69"/>
      </w:r>
    </w:p>
    <w:p w:rsidR="001E0B2F" w:rsidP="001E0B2F" w:rsidRDefault="001E0B2F" w14:paraId="0030A848" w14:textId="77777777">
      <w:pPr>
        <w:pStyle w:val="ssPara3"/>
        <w:numPr>
          <w:ilvl w:val="3"/>
          <w:numId w:val="77"/>
        </w:numPr>
        <w:tabs>
          <w:tab w:val="left" w:pos="2694"/>
        </w:tabs>
        <w:ind w:left="2694" w:hanging="709"/>
      </w:pPr>
      <w:bookmarkStart w:name="_DV_M243" w:id="370"/>
      <w:bookmarkStart w:name="_Ref148429092" w:id="371"/>
      <w:bookmarkEnd w:id="370"/>
      <w:r>
        <w:rPr>
          <w:color w:val="000000"/>
        </w:rPr>
        <w:t>[(2)/(3)]</w:t>
      </w:r>
      <w:r>
        <w:rPr>
          <w:color w:val="000000"/>
        </w:rPr>
        <w:tab/>
      </w:r>
      <w:r>
        <w:t>exchange-traded derivative contracts:</w:t>
      </w:r>
    </w:p>
    <w:p w:rsidR="001E0B2F" w:rsidP="001E0B2F" w:rsidRDefault="001E0B2F" w14:paraId="65B473F3" w14:textId="77777777">
      <w:pPr>
        <w:pStyle w:val="Heading5"/>
        <w:numPr>
          <w:ilvl w:val="5"/>
          <w:numId w:val="80"/>
        </w:numPr>
        <w:tabs>
          <w:tab w:val="clear" w:pos="2552"/>
          <w:tab w:val="num" w:pos="3261"/>
        </w:tabs>
        <w:ind w:left="3261" w:firstLine="0"/>
        <w:rPr>
          <w:b w:val="0"/>
          <w:bCs/>
        </w:rPr>
      </w:pPr>
      <w:r>
        <w:rPr>
          <w:b w:val="0"/>
          <w:bCs/>
        </w:rPr>
        <w:t>if a single price for buying and selling the exchange-traded derivative contract is quoted, at that price; or</w:t>
      </w:r>
    </w:p>
    <w:p w:rsidR="001E0B2F" w:rsidP="001E0B2F" w:rsidRDefault="001E0B2F" w14:paraId="56D11F0A" w14:textId="77777777">
      <w:pPr>
        <w:pStyle w:val="Heading5"/>
        <w:numPr>
          <w:ilvl w:val="5"/>
          <w:numId w:val="80"/>
        </w:numPr>
        <w:tabs>
          <w:tab w:val="clear" w:pos="2552"/>
          <w:tab w:val="num" w:pos="3261"/>
        </w:tabs>
        <w:ind w:left="3261" w:firstLine="0"/>
        <w:rPr>
          <w:b w:val="0"/>
          <w:bCs/>
        </w:rPr>
      </w:pPr>
      <w:r>
        <w:rPr>
          <w:b w:val="0"/>
          <w:bCs/>
        </w:rPr>
        <w:t xml:space="preserve">if separate buying and selling prices are quoted, at the average of the two prices; </w:t>
      </w:r>
    </w:p>
    <w:p w:rsidR="001E0B2F" w:rsidP="001E0B2F" w:rsidRDefault="001E0B2F" w14:paraId="2FA0B68C" w14:textId="50716593">
      <w:pPr>
        <w:pStyle w:val="ssPara3"/>
        <w:numPr>
          <w:ilvl w:val="3"/>
          <w:numId w:val="77"/>
        </w:numPr>
        <w:tabs>
          <w:tab w:val="left" w:pos="2694"/>
        </w:tabs>
        <w:ind w:left="2694" w:hanging="709"/>
        <w:rPr>
          <w:color w:val="000000"/>
        </w:rPr>
      </w:pPr>
      <w:r>
        <w:t>[(3)/(4)]</w:t>
      </w:r>
      <w:r>
        <w:tab/>
        <w:t>over-the-counter derivative contracts shall be valued in accordance with the method of valuation as shall have been agreed between the Manager and the Depositary</w:t>
      </w:r>
      <w:r>
        <w:rPr>
          <w:color w:val="000000"/>
        </w:rPr>
        <w:t>;</w:t>
      </w:r>
      <w:r>
        <w:rPr>
          <w:rStyle w:val="EndnoteReference"/>
        </w:rPr>
        <w:endnoteReference w:id="70"/>
      </w:r>
    </w:p>
    <w:p w:rsidR="001E0B2F" w:rsidP="001E0B2F" w:rsidRDefault="001E0B2F" w14:paraId="4387F2A0" w14:textId="77777777">
      <w:pPr>
        <w:pStyle w:val="ssPara3"/>
        <w:numPr>
          <w:ilvl w:val="3"/>
          <w:numId w:val="77"/>
        </w:numPr>
        <w:tabs>
          <w:tab w:val="left" w:pos="2694"/>
        </w:tabs>
        <w:ind w:left="2694" w:hanging="709"/>
      </w:pPr>
      <w:r>
        <w:lastRenderedPageBreak/>
        <w:t>[(4)/(5)]</w:t>
      </w:r>
      <w:r>
        <w:tab/>
        <w:t>any other investment:</w:t>
      </w:r>
      <w:bookmarkEnd w:id="371"/>
    </w:p>
    <w:p w:rsidR="001E0B2F" w:rsidP="001E0B2F" w:rsidRDefault="001E0B2F" w14:paraId="5173AED4" w14:textId="77777777">
      <w:pPr>
        <w:pStyle w:val="Heading5"/>
        <w:numPr>
          <w:ilvl w:val="5"/>
          <w:numId w:val="81"/>
        </w:numPr>
        <w:tabs>
          <w:tab w:val="clear" w:pos="2552"/>
          <w:tab w:val="num" w:pos="3261"/>
        </w:tabs>
        <w:ind w:left="3261" w:firstLine="0"/>
        <w:rPr>
          <w:b w:val="0"/>
          <w:bCs/>
        </w:rPr>
      </w:pPr>
      <w:bookmarkStart w:name="_DV_M244" w:id="372"/>
      <w:bookmarkEnd w:id="372"/>
      <w:r>
        <w:rPr>
          <w:b w:val="0"/>
          <w:bCs/>
        </w:rPr>
        <w:t>the best available market dealing bid price on the most appropriate market in a standard size (less any dealing costs (as defined below)</w:t>
      </w:r>
      <w:bookmarkStart w:name="_DV_C32" w:id="373"/>
      <w:r>
        <w:rPr>
          <w:b w:val="0"/>
          <w:bCs/>
        </w:rPr>
        <w:t>)</w:t>
      </w:r>
      <w:bookmarkStart w:name="_DV_M245" w:id="374"/>
      <w:bookmarkEnd w:id="373"/>
      <w:bookmarkEnd w:id="374"/>
      <w:r>
        <w:rPr>
          <w:b w:val="0"/>
          <w:bCs/>
        </w:rPr>
        <w:t>; or</w:t>
      </w:r>
    </w:p>
    <w:p w:rsidR="001E0B2F" w:rsidP="001E0B2F" w:rsidRDefault="001E0B2F" w14:paraId="5E06D886" w14:textId="1851FF70">
      <w:pPr>
        <w:pStyle w:val="Heading5"/>
        <w:numPr>
          <w:ilvl w:val="5"/>
          <w:numId w:val="81"/>
        </w:numPr>
        <w:tabs>
          <w:tab w:val="clear" w:pos="2552"/>
          <w:tab w:val="num" w:pos="3261"/>
        </w:tabs>
        <w:ind w:left="3261" w:firstLine="0"/>
        <w:rPr>
          <w:b w:val="0"/>
          <w:bCs/>
        </w:rPr>
      </w:pPr>
      <w:r>
        <w:rPr>
          <w:b w:val="0"/>
          <w:bCs/>
        </w:rPr>
        <w:t>if, in the opinion of the Manager, the price obtained is unreliable or no recent traded price is available or if the most recent price available does not reflect the Manager’s best estimate of the value, at a value which, in the opinion of the Manager, is fair and reasonable; and</w:t>
      </w:r>
    </w:p>
    <w:p w:rsidR="001E0B2F" w:rsidP="001E0B2F" w:rsidRDefault="001E0B2F" w14:paraId="47AD80E5" w14:textId="3742C687">
      <w:pPr>
        <w:pStyle w:val="ssPara3"/>
        <w:numPr>
          <w:ilvl w:val="3"/>
          <w:numId w:val="77"/>
        </w:numPr>
        <w:tabs>
          <w:tab w:val="left" w:pos="2694"/>
        </w:tabs>
        <w:ind w:left="2694" w:hanging="709"/>
      </w:pPr>
      <w:bookmarkStart w:name="_DV_M247" w:id="375"/>
      <w:bookmarkEnd w:id="375"/>
      <w:r>
        <w:t>[(5)/(6)]</w:t>
      </w:r>
      <w:r>
        <w:tab/>
        <w:t>Scheme Property other than that described in [(</w:t>
      </w:r>
      <w:bookmarkStart w:name="_DV_M248" w:id="376"/>
      <w:bookmarkEnd w:id="376"/>
      <w:r>
        <w:t>1), (2), (3) and (4)]/[(1), (2), (3), (4) and (e)] above: at a value which, in the opinion of the Manager, is fair and reasonable (less any dealing costs (as defined below)).</w:t>
      </w:r>
    </w:p>
    <w:p w:rsidR="001E0B2F" w:rsidP="001E0B2F" w:rsidRDefault="001E0B2F" w14:paraId="6636A077" w14:textId="77777777">
      <w:pPr>
        <w:pStyle w:val="ssNoHeading1"/>
        <w:numPr>
          <w:ilvl w:val="1"/>
          <w:numId w:val="76"/>
        </w:numPr>
      </w:pPr>
      <w:bookmarkStart w:name="_DV_M249" w:id="377"/>
      <w:bookmarkStart w:name="_Ref92232486" w:id="378"/>
      <w:bookmarkEnd w:id="377"/>
      <w:r>
        <w:t>Cash and amounts held in current, deposit and margin accounts and in other time related deposits shall be valued at their nominal values.</w:t>
      </w:r>
      <w:bookmarkStart w:name="_DV_M250" w:id="379"/>
      <w:bookmarkStart w:name="_DV_M251" w:id="380"/>
      <w:bookmarkStart w:name="_DV_M255" w:id="381"/>
      <w:bookmarkStart w:name="_DV_M256" w:id="382"/>
      <w:bookmarkStart w:name="_DV_M257" w:id="383"/>
      <w:bookmarkStart w:name="_DV_M258" w:id="384"/>
      <w:bookmarkStart w:name="_DV_M259" w:id="385"/>
      <w:bookmarkStart w:name="_DV_M260" w:id="386"/>
      <w:bookmarkStart w:name="_DV_M261" w:id="387"/>
      <w:bookmarkStart w:name="_DV_M262" w:id="388"/>
      <w:bookmarkStart w:name="_DV_M263" w:id="389"/>
      <w:bookmarkEnd w:id="378"/>
      <w:bookmarkEnd w:id="379"/>
      <w:bookmarkEnd w:id="380"/>
      <w:bookmarkEnd w:id="381"/>
      <w:bookmarkEnd w:id="382"/>
      <w:bookmarkEnd w:id="383"/>
      <w:bookmarkEnd w:id="384"/>
      <w:bookmarkEnd w:id="385"/>
      <w:bookmarkEnd w:id="386"/>
      <w:bookmarkEnd w:id="387"/>
      <w:bookmarkEnd w:id="388"/>
      <w:bookmarkEnd w:id="389"/>
    </w:p>
    <w:p w:rsidR="001E0B2F" w:rsidP="001E0B2F" w:rsidRDefault="001E0B2F" w14:paraId="58B6D5D0" w14:textId="59B6049B">
      <w:pPr>
        <w:pStyle w:val="ssNoHeading1"/>
        <w:numPr>
          <w:ilvl w:val="1"/>
          <w:numId w:val="76"/>
        </w:numPr>
      </w:pPr>
      <w:bookmarkStart w:name="_DV_M264" w:id="390"/>
      <w:bookmarkStart w:name="_Ref92232490" w:id="391"/>
      <w:bookmarkEnd w:id="390"/>
      <w:r>
        <w:t xml:space="preserve">In determining the value of the Scheme Property, all instructions given to issue or cancel units shall be assumed (unless the contrary is shown) to have been carried out and any payment made or received and any consequential action required by the Regulations or this </w:t>
      </w:r>
      <w:r w:rsidR="00695E22">
        <w:t>Deed</w:t>
      </w:r>
      <w:r>
        <w:t xml:space="preserve"> shall be assumed (unless the contrary has been shown) to have been taken.</w:t>
      </w:r>
      <w:bookmarkEnd w:id="391"/>
    </w:p>
    <w:p w:rsidR="001E0B2F" w:rsidP="001E0B2F" w:rsidRDefault="001E0B2F" w14:paraId="79356B92" w14:textId="79E570D6">
      <w:pPr>
        <w:pStyle w:val="ssNoHeading1"/>
        <w:numPr>
          <w:ilvl w:val="1"/>
          <w:numId w:val="76"/>
        </w:numPr>
        <w:rPr>
          <w:b/>
          <w:i/>
          <w:iCs/>
        </w:rPr>
      </w:pPr>
      <w:bookmarkStart w:name="_DV_M265" w:id="392"/>
      <w:bookmarkStart w:name="_Ref92231995" w:id="393"/>
      <w:bookmarkEnd w:id="392"/>
      <w:r>
        <w:t xml:space="preserve">Subject to paragraphs </w:t>
      </w:r>
      <w:r>
        <w:fldChar w:fldCharType="begin"/>
      </w:r>
      <w:r>
        <w:instrText xml:space="preserve"> REF _Ref92231977  h \n</w:instrText>
      </w:r>
      <w:r>
        <w:fldChar w:fldCharType="separate"/>
      </w:r>
      <w:r w:rsidR="00663122">
        <w:rPr>
          <w:cs/>
        </w:rPr>
        <w:t>‎</w:t>
      </w:r>
      <w:r w:rsidR="00663122">
        <w:t>6</w:t>
      </w:r>
      <w:r>
        <w:fldChar w:fldCharType="end"/>
      </w:r>
      <w:r>
        <w:t xml:space="preserve"> and </w:t>
      </w:r>
      <w:r>
        <w:fldChar w:fldCharType="begin"/>
      </w:r>
      <w:r>
        <w:instrText xml:space="preserve"> REF _Ref92231880  h \n</w:instrText>
      </w:r>
      <w:r>
        <w:fldChar w:fldCharType="separate"/>
      </w:r>
      <w:r w:rsidR="00663122">
        <w:rPr>
          <w:cs/>
        </w:rPr>
        <w:t>‎</w:t>
      </w:r>
      <w:r w:rsidR="00663122">
        <w:t>7</w:t>
      </w:r>
      <w:r>
        <w:fldChar w:fldCharType="end"/>
      </w:r>
      <w:r>
        <w:t xml:space="preserve"> below, agreements for the unconditional sale or purchase of property which are in existence but uncompleted shall be assumed to have been completed and all consequential action required to have been taken. [Such unconditional agreements need not be taken into account if made shortly before the valuation takes place and, in the opinion of the Manager, their omission shall not materially affect the final net asset amount.]</w:t>
      </w:r>
      <w:r>
        <w:rPr>
          <w:rStyle w:val="EndnoteReference"/>
        </w:rPr>
        <w:endnoteReference w:id="71"/>
      </w:r>
      <w:bookmarkEnd w:id="393"/>
    </w:p>
    <w:p w:rsidR="001E0B2F" w:rsidP="001E0B2F" w:rsidRDefault="001E0B2F" w14:paraId="116CA62B" w14:textId="51D48AB7">
      <w:pPr>
        <w:pStyle w:val="ssNoHeading1"/>
        <w:numPr>
          <w:ilvl w:val="1"/>
          <w:numId w:val="76"/>
        </w:numPr>
      </w:pPr>
      <w:bookmarkStart w:name="_DV_M266" w:id="394"/>
      <w:bookmarkEnd w:id="394"/>
      <w:r>
        <w:t xml:space="preserve">Futures or contracts for differences which are not yet due to be performed and unexpired and unexercised written or purchased options shall not be included under paragraph </w:t>
      </w:r>
      <w:r>
        <w:fldChar w:fldCharType="begin"/>
      </w:r>
      <w:r>
        <w:instrText xml:space="preserve"> REF _Ref92231995  h \n</w:instrText>
      </w:r>
      <w:r>
        <w:fldChar w:fldCharType="separate"/>
      </w:r>
      <w:r w:rsidR="00663122">
        <w:rPr>
          <w:cs/>
        </w:rPr>
        <w:t>‎</w:t>
      </w:r>
      <w:r w:rsidR="00663122">
        <w:t>5</w:t>
      </w:r>
      <w:r>
        <w:fldChar w:fldCharType="end"/>
      </w:r>
      <w:r>
        <w:t>.</w:t>
      </w:r>
    </w:p>
    <w:p w:rsidR="001E0B2F" w:rsidP="001E0B2F" w:rsidRDefault="001E0B2F" w14:paraId="102F8947" w14:textId="13C11960">
      <w:pPr>
        <w:pStyle w:val="ssNoHeading1"/>
        <w:numPr>
          <w:ilvl w:val="1"/>
          <w:numId w:val="76"/>
        </w:numPr>
      </w:pPr>
      <w:bookmarkStart w:name="_DV_M267" w:id="395"/>
      <w:bookmarkEnd w:id="395"/>
      <w:r>
        <w:t xml:space="preserve">All agreements are to be included under paragraph </w:t>
      </w:r>
      <w:r>
        <w:fldChar w:fldCharType="begin"/>
      </w:r>
      <w:r>
        <w:instrText xml:space="preserve"> REF _Ref92231893  h \n</w:instrText>
      </w:r>
      <w:r>
        <w:fldChar w:fldCharType="separate"/>
      </w:r>
      <w:r w:rsidR="00663122">
        <w:rPr>
          <w:cs/>
        </w:rPr>
        <w:t>‎</w:t>
      </w:r>
      <w:r w:rsidR="00663122">
        <w:t>5</w:t>
      </w:r>
      <w:r>
        <w:fldChar w:fldCharType="end"/>
      </w:r>
      <w:r>
        <w:t xml:space="preserve"> which are, or ought reasonably to have been, known to the person valuing the property assuming that all other persons in the Manager’s employment take all reasonable steps to inform it immediately of the making of any agreement.</w:t>
      </w:r>
    </w:p>
    <w:p w:rsidR="001E0B2F" w:rsidP="001E0B2F" w:rsidRDefault="001E0B2F" w14:paraId="0AB2317A" w14:textId="77777777">
      <w:pPr>
        <w:pStyle w:val="ssNoHeading1"/>
        <w:numPr>
          <w:ilvl w:val="1"/>
          <w:numId w:val="76"/>
        </w:numPr>
      </w:pPr>
      <w:bookmarkStart w:name="_DV_M268" w:id="396"/>
      <w:bookmarkStart w:name="_DV_M269" w:id="397"/>
      <w:bookmarkStart w:name="_DV_M270" w:id="398"/>
      <w:bookmarkEnd w:id="396"/>
      <w:bookmarkEnd w:id="397"/>
      <w:bookmarkEnd w:id="398"/>
      <w:r>
        <w:t>Deduct an estimated amount for anticipated tax liabilities (on unrealised capital gains where the liabilities have accrued and are payable out of the Scheme Property; and on realised capital gains in respect of previously completed and current accounting periods; and on income where liabilities have accrued) including (as applicable and without limitation) capital gains tax, income tax, corporation tax, value added tax, stamp duty and stamp duty reserve tax.</w:t>
      </w:r>
    </w:p>
    <w:p w:rsidR="001E0B2F" w:rsidP="001E0B2F" w:rsidRDefault="001E0B2F" w14:paraId="7120D023" w14:textId="77777777">
      <w:pPr>
        <w:pStyle w:val="ssNoHeading1"/>
        <w:numPr>
          <w:ilvl w:val="1"/>
          <w:numId w:val="76"/>
        </w:numPr>
      </w:pPr>
      <w:bookmarkStart w:name="_DV_M271" w:id="399"/>
      <w:bookmarkEnd w:id="399"/>
      <w:r>
        <w:t>Deduct an estimated amount for any liabilities payable out of the Scheme Property and any tax thereon treating periodic items as accruing from day to day.</w:t>
      </w:r>
    </w:p>
    <w:p w:rsidR="001E0B2F" w:rsidP="001E0B2F" w:rsidRDefault="001E0B2F" w14:paraId="12DDBF1C" w14:textId="77777777">
      <w:pPr>
        <w:pStyle w:val="ssNoHeading1"/>
        <w:numPr>
          <w:ilvl w:val="1"/>
          <w:numId w:val="76"/>
        </w:numPr>
      </w:pPr>
      <w:bookmarkStart w:name="_DV_M272" w:id="400"/>
      <w:bookmarkEnd w:id="400"/>
      <w:r>
        <w:t>Deduct the principal amount of any outstanding borrowings whenever payable and any accrued but unpaid interest on borrowings.</w:t>
      </w:r>
    </w:p>
    <w:p w:rsidR="001E0B2F" w:rsidP="001E0B2F" w:rsidRDefault="001E0B2F" w14:paraId="5FF95A54" w14:textId="77777777">
      <w:pPr>
        <w:pStyle w:val="ssNoHeading1"/>
        <w:numPr>
          <w:ilvl w:val="1"/>
          <w:numId w:val="76"/>
        </w:numPr>
      </w:pPr>
      <w:bookmarkStart w:name="_DV_M273" w:id="401"/>
      <w:bookmarkStart w:name="_DV_M274" w:id="402"/>
      <w:bookmarkEnd w:id="401"/>
      <w:bookmarkEnd w:id="402"/>
      <w:r>
        <w:t>Add an estimated amount for accrued claims for tax of whatever nature which may be recoverable.</w:t>
      </w:r>
    </w:p>
    <w:p w:rsidR="001E0B2F" w:rsidP="001E0B2F" w:rsidRDefault="001E0B2F" w14:paraId="7C0B3B74" w14:textId="77777777">
      <w:pPr>
        <w:pStyle w:val="ssNoHeading1"/>
        <w:numPr>
          <w:ilvl w:val="1"/>
          <w:numId w:val="76"/>
        </w:numPr>
      </w:pPr>
      <w:bookmarkStart w:name="_DV_M275" w:id="403"/>
      <w:bookmarkEnd w:id="403"/>
      <w:r>
        <w:lastRenderedPageBreak/>
        <w:t>Add any other credits or amounts due to be paid into the Scheme Property.</w:t>
      </w:r>
    </w:p>
    <w:p w:rsidR="001E0B2F" w:rsidP="001E0B2F" w:rsidRDefault="001E0B2F" w14:paraId="55F4C368" w14:textId="77777777">
      <w:pPr>
        <w:pStyle w:val="ssNoHeading1"/>
        <w:numPr>
          <w:ilvl w:val="1"/>
          <w:numId w:val="76"/>
        </w:numPr>
      </w:pPr>
      <w:bookmarkStart w:name="_DV_M276" w:id="404"/>
      <w:bookmarkStart w:name="_DV_M277" w:id="405"/>
      <w:bookmarkEnd w:id="404"/>
      <w:bookmarkEnd w:id="405"/>
      <w:r>
        <w:t>Add a sum representing any interest or any income accrued due or deemed to have accrued but not received and any stamp duty reserve tax provision anticipated to be received.</w:t>
      </w:r>
    </w:p>
    <w:p w:rsidR="001E0B2F" w:rsidP="001E0B2F" w:rsidRDefault="001E0B2F" w14:paraId="29F946C6" w14:textId="1B74E2C1">
      <w:pPr>
        <w:pStyle w:val="ssNoHeading1"/>
        <w:numPr>
          <w:ilvl w:val="1"/>
          <w:numId w:val="76"/>
        </w:numPr>
      </w:pPr>
      <w:bookmarkStart w:name="_DV_M278" w:id="406"/>
      <w:bookmarkStart w:name="_DV_M279" w:id="407"/>
      <w:bookmarkEnd w:id="406"/>
      <w:bookmarkEnd w:id="407"/>
      <w:r>
        <w:t xml:space="preserve">Currencies or values in currencies other than the base currency shall be converted at the relevant </w:t>
      </w:r>
      <w:r w:rsidR="00C51A3E">
        <w:t>Valuation</w:t>
      </w:r>
      <w:r w:rsidR="00D135F7">
        <w:t xml:space="preserve"> Point</w:t>
      </w:r>
      <w:r>
        <w:t xml:space="preserve"> at a rate of exchange that is not likely to result in any material prejudice to the interests of Unitholders or potential Unitholders.</w:t>
      </w:r>
    </w:p>
    <w:p w:rsidRPr="001E0B2F" w:rsidR="00885391" w:rsidP="001E0B2F" w:rsidRDefault="001E0B2F" w14:paraId="7AE409D4" w14:textId="35C7C505">
      <w:pPr>
        <w:pStyle w:val="ssNoHeading1"/>
        <w:numPr>
          <w:ilvl w:val="1"/>
          <w:numId w:val="76"/>
        </w:numPr>
      </w:pPr>
      <w:bookmarkStart w:name="_DV_M280" w:id="408"/>
      <w:bookmarkStart w:name="_DV_M281" w:id="409"/>
      <w:bookmarkEnd w:id="408"/>
      <w:bookmarkEnd w:id="409"/>
      <w:r>
        <w:t xml:space="preserve">For the purposes of this </w:t>
      </w:r>
      <w:bookmarkStart w:name="_DV_C53" w:id="410"/>
      <w:r w:rsidR="006F7E70">
        <w:fldChar w:fldCharType="begin"/>
      </w:r>
      <w:r w:rsidR="006F7E70">
        <w:instrText xml:space="preserve"> REF _Ref117249397 \r \h </w:instrText>
      </w:r>
      <w:r w:rsidR="006F7E70">
        <w:fldChar w:fldCharType="separate"/>
      </w:r>
      <w:r w:rsidR="00663122">
        <w:rPr>
          <w:cs/>
        </w:rPr>
        <w:t>‎</w:t>
      </w:r>
      <w:r w:rsidR="00663122">
        <w:t>Part 2</w:t>
      </w:r>
      <w:r w:rsidR="006F7E70">
        <w:fldChar w:fldCharType="end"/>
      </w:r>
      <w:r>
        <w:t xml:space="preserve"> of the Schedule, “dealing costs” means any fiscal charges, commission or other charges payable in the event of the carrying out of the transaction in question (but excluding any preliminary charge payable by the Scheme on the purchase of units or shares)</w:t>
      </w:r>
      <w:bookmarkStart w:name="_DV_M282" w:id="411"/>
      <w:bookmarkEnd w:id="410"/>
      <w:bookmarkEnd w:id="411"/>
      <w:r>
        <w:t xml:space="preserve">, assuming that the commission and charges (other than fiscal charges) which would be payable by the Scheme are the least that could reasonably be expected to be paid in order to carry out the transaction. </w:t>
      </w:r>
    </w:p>
    <w:p w:rsidR="00885391" w:rsidRDefault="00885391" w14:paraId="50946C20" w14:textId="77777777">
      <w:pPr>
        <w:jc w:val="left"/>
        <w:rPr>
          <w:rFonts w:eastAsia="MingLiU" w:cs="Times New Roman"/>
          <w:bCs/>
          <w:w w:val="0"/>
          <w:kern w:val="32"/>
          <w:szCs w:val="28"/>
          <w:lang w:eastAsia="en-GB"/>
        </w:rPr>
      </w:pPr>
      <w:r>
        <w:rPr>
          <w:w w:val="0"/>
        </w:rPr>
        <w:br w:type="page"/>
      </w:r>
    </w:p>
    <w:p w:rsidRPr="009F4300" w:rsidR="00F238C5" w:rsidP="00F238C5" w:rsidRDefault="00997BE0" w14:paraId="33BAB709" w14:textId="1C1FF181">
      <w:pPr>
        <w:pStyle w:val="ssqPart"/>
        <w:rPr>
          <w:w w:val="0"/>
        </w:rPr>
      </w:pPr>
      <w:bookmarkStart w:name="_Ref117249383" w:id="412"/>
      <w:bookmarkStart w:name="_Ref117249513" w:id="413"/>
      <w:bookmarkStart w:name="_Toc179391877" w:id="414"/>
      <w:r w:rsidRPr="009F4300">
        <w:rPr>
          <w:w w:val="0"/>
        </w:rPr>
        <w:lastRenderedPageBreak/>
        <w:t>: CERTIFICATE</w:t>
      </w:r>
      <w:bookmarkEnd w:id="412"/>
      <w:bookmarkEnd w:id="413"/>
      <w:bookmarkEnd w:id="414"/>
    </w:p>
    <w:p w:rsidRPr="009F4300" w:rsidR="00F238C5" w:rsidP="00F238C5" w:rsidRDefault="00F238C5" w14:paraId="5BBD43F3" w14:textId="634D9E31">
      <w:pPr>
        <w:pStyle w:val="ssRestartNumber"/>
        <w:rPr>
          <w:w w:val="0"/>
        </w:rPr>
      </w:pPr>
    </w:p>
    <w:p w:rsidRPr="009F4300" w:rsidR="00F238C5" w:rsidP="00F238C5" w:rsidRDefault="00F238C5" w14:paraId="0B701BF4" w14:textId="65996EE6">
      <w:pPr>
        <w:pStyle w:val="ssPara"/>
        <w:rPr>
          <w:w w:val="0"/>
        </w:rPr>
      </w:pPr>
      <w:r w:rsidRPr="009F4300">
        <w:rPr>
          <w:w w:val="0"/>
        </w:rPr>
        <w:t>Dated:</w:t>
      </w:r>
    </w:p>
    <w:p w:rsidRPr="009F4300" w:rsidR="00F238C5" w:rsidP="00F238C5" w:rsidRDefault="00F238C5" w14:paraId="66ED125D" w14:textId="20FC887A">
      <w:pPr>
        <w:pStyle w:val="ssPara"/>
        <w:rPr>
          <w:w w:val="0"/>
        </w:rPr>
      </w:pPr>
      <w:r w:rsidRPr="009F4300">
        <w:rPr>
          <w:w w:val="0"/>
        </w:rPr>
        <w:t>We hereby certify that:</w:t>
      </w:r>
    </w:p>
    <w:p w:rsidRPr="009F4300" w:rsidR="00F238C5" w:rsidP="00997BE0" w:rsidRDefault="00F238C5" w14:paraId="2FE678DD" w14:textId="47DD2378">
      <w:pPr>
        <w:pStyle w:val="ssNoHeading3"/>
      </w:pPr>
      <w:r w:rsidRPr="009F4300">
        <w:t xml:space="preserve">we are a person who falls within one of the categories (1) to (4) of Section 1 of Annex II to the markets in financial instrument directive,* or </w:t>
      </w:r>
    </w:p>
    <w:p w:rsidRPr="009F4300" w:rsidR="00F238C5" w:rsidP="00997BE0" w:rsidRDefault="00F238C5" w14:paraId="37B79286" w14:textId="0C94C315">
      <w:pPr>
        <w:pStyle w:val="ssNoHeading3"/>
      </w:pPr>
      <w:r w:rsidRPr="009F4300">
        <w:t>we are applying to invest a payment of, or contribute property with a value of, not less than £1,000,000, or</w:t>
      </w:r>
    </w:p>
    <w:p w:rsidRPr="009F4300" w:rsidR="00F238C5" w:rsidP="00997BE0" w:rsidRDefault="00F238C5" w14:paraId="187CE929" w14:textId="063DFC5A">
      <w:pPr>
        <w:pStyle w:val="ssNoHeading3"/>
      </w:pPr>
      <w:r w:rsidRPr="009F4300">
        <w:t>we already hold Units in the Scheme, or</w:t>
      </w:r>
    </w:p>
    <w:p w:rsidRPr="009F4300" w:rsidR="00F238C5" w:rsidP="00997BE0" w:rsidRDefault="00F238C5" w14:paraId="0B099281" w14:textId="56C0F802">
      <w:pPr>
        <w:pStyle w:val="ssNoHeading3"/>
      </w:pPr>
      <w:r w:rsidRPr="009F4300">
        <w:t>we are a nominee for a person falling within (a), (b) or (c) and that person is [</w:t>
      </w:r>
      <w:r w:rsidRPr="009F4300">
        <w:rPr>
          <w:vertAlign w:val="subscript"/>
        </w:rPr>
        <w:t>please give details</w:t>
      </w:r>
      <w:r w:rsidRPr="009F4300">
        <w:t>].</w:t>
      </w:r>
    </w:p>
    <w:p w:rsidRPr="009F4300" w:rsidR="00F238C5" w:rsidP="00997BE0" w:rsidRDefault="00F238C5" w14:paraId="094612B8" w14:textId="014972C1">
      <w:pPr>
        <w:pStyle w:val="ssPara"/>
        <w:jc w:val="right"/>
      </w:pPr>
      <w:r w:rsidRPr="009F4300">
        <w:t>Signed: ................................................</w:t>
      </w:r>
    </w:p>
    <w:p w:rsidRPr="009F4300" w:rsidR="00F238C5" w:rsidP="00997BE0" w:rsidRDefault="00997BE0" w14:paraId="6048C4A1" w14:textId="7ACCD56B">
      <w:pPr>
        <w:pStyle w:val="ssPara"/>
        <w:tabs>
          <w:tab w:val="left" w:pos="5812"/>
        </w:tabs>
        <w:jc w:val="left"/>
      </w:pPr>
      <w:r w:rsidRPr="009F4300">
        <w:tab/>
      </w:r>
      <w:r w:rsidRPr="009F4300" w:rsidR="00F238C5">
        <w:t>Unitholder</w:t>
      </w:r>
    </w:p>
    <w:p w:rsidRPr="009F4300" w:rsidR="00F238C5" w:rsidP="00F238C5" w:rsidRDefault="00F238C5" w14:paraId="62AC3FA2" w14:textId="7E8975E8">
      <w:pPr>
        <w:pStyle w:val="ssPara"/>
      </w:pPr>
      <w:r w:rsidRPr="009F4300">
        <w:t>If (</w:t>
      </w:r>
      <w:r w:rsidRPr="009F4300" w:rsidR="00997BE0">
        <w:t>D</w:t>
      </w:r>
      <w:r w:rsidRPr="009F4300">
        <w:t>) applies:</w:t>
      </w:r>
    </w:p>
    <w:p w:rsidRPr="009F4300" w:rsidR="00F238C5" w:rsidP="00F238C5" w:rsidRDefault="00F238C5" w14:paraId="05122051" w14:textId="145D5B7A">
      <w:pPr>
        <w:pStyle w:val="ssPara2"/>
      </w:pPr>
      <w:r w:rsidRPr="009F4300">
        <w:t>We certify that the applicant is our nominee and that we fall within (a) to  (c) above.</w:t>
      </w:r>
    </w:p>
    <w:p w:rsidRPr="009F4300" w:rsidR="00F238C5" w:rsidP="00997BE0" w:rsidRDefault="00F238C5" w14:paraId="236E7D92" w14:textId="5EE4B1DD">
      <w:pPr>
        <w:pStyle w:val="ssPara"/>
        <w:jc w:val="right"/>
      </w:pPr>
      <w:r w:rsidRPr="009F4300">
        <w:t>Signed: ................................................</w:t>
      </w:r>
    </w:p>
    <w:p w:rsidRPr="009F4300" w:rsidR="00F238C5" w:rsidP="00997BE0" w:rsidRDefault="00997BE0" w14:paraId="60D42214" w14:textId="5C5C2485">
      <w:pPr>
        <w:pStyle w:val="ssPara"/>
        <w:tabs>
          <w:tab w:val="left" w:pos="5812"/>
        </w:tabs>
        <w:jc w:val="left"/>
      </w:pPr>
      <w:r w:rsidRPr="009F4300">
        <w:tab/>
      </w:r>
      <w:r w:rsidRPr="009F4300" w:rsidR="00F238C5">
        <w:t>Principal</w:t>
      </w:r>
    </w:p>
    <w:p w:rsidRPr="009F4300" w:rsidR="00F238C5" w:rsidP="00997BE0" w:rsidRDefault="00997BE0" w14:paraId="45A53221" w14:textId="2ED8853B">
      <w:pPr>
        <w:pStyle w:val="ssAgrTypeText"/>
        <w:jc w:val="center"/>
      </w:pPr>
      <w:r w:rsidRPr="009F4300">
        <w:rPr>
          <w:caps w:val="0"/>
        </w:rPr>
        <w:t>Undertaking and Indemnity</w:t>
      </w:r>
    </w:p>
    <w:p w:rsidRPr="009F4300" w:rsidR="00F238C5" w:rsidP="00F238C5" w:rsidRDefault="00F238C5" w14:paraId="6D80EF88" w14:textId="2035384B">
      <w:pPr>
        <w:pStyle w:val="ssPara"/>
      </w:pPr>
      <w:r w:rsidRPr="009F4300">
        <w:t xml:space="preserve">To the extent the Depositary, its Custodian, the </w:t>
      </w:r>
      <w:r w:rsidR="00B21EE2">
        <w:t>Manager</w:t>
      </w:r>
      <w:r w:rsidRPr="009F4300">
        <w:t xml:space="preserve">, the Investment Adviser, any other provider of services to or in relation to the Scheme, any </w:t>
      </w:r>
      <w:r w:rsidR="00D30F5C">
        <w:t>Sub-Fund</w:t>
      </w:r>
      <w:r w:rsidRPr="009F4300">
        <w:t xml:space="preserve">, any underlying investment, any Unitholder or former Unitholder and any of their respective delegates or agents is liable to pay any Taxation because of the ownership, directly or indirectly, by us and such Taxation is not paid by us on our own account, we shall pay the amount of the Taxation to the relevant </w:t>
      </w:r>
      <w:r w:rsidR="00D30F5C">
        <w:t>Sub-Fund</w:t>
      </w:r>
      <w:r w:rsidRPr="009F4300">
        <w:t xml:space="preserve"> or as the </w:t>
      </w:r>
      <w:r w:rsidR="00B21EE2">
        <w:t>Manager</w:t>
      </w:r>
      <w:r w:rsidRPr="009F4300">
        <w:t xml:space="preserve"> may direct before the time it becomes payable by the affected person.  </w:t>
      </w:r>
    </w:p>
    <w:p w:rsidRPr="009F4300" w:rsidR="00F238C5" w:rsidP="00F238C5" w:rsidRDefault="00F238C5" w14:paraId="0672228E" w14:textId="6002ABB1">
      <w:pPr>
        <w:pStyle w:val="ssPara"/>
      </w:pPr>
      <w:r w:rsidRPr="009F4300">
        <w:t xml:space="preserve">To the extent the amount of the Taxation referred to in the previous paragraph is not so paid, we hereby indemnify the </w:t>
      </w:r>
      <w:r w:rsidR="00B21EE2">
        <w:t>Manager</w:t>
      </w:r>
      <w:r w:rsidRPr="009F4300">
        <w:t xml:space="preserve">, the relevant </w:t>
      </w:r>
      <w:r w:rsidR="00D30F5C">
        <w:t>Sub-Fund</w:t>
      </w:r>
      <w:r w:rsidRPr="009F4300">
        <w:t xml:space="preserve">, the Unitholders and former Unitholders and any of the other persons mentioned affected by such Taxation in relation to all such amounts of Taxation.  </w:t>
      </w:r>
    </w:p>
    <w:p w:rsidRPr="009F4300" w:rsidR="00F238C5" w:rsidP="00F238C5" w:rsidRDefault="00F238C5" w14:paraId="63A455A9" w14:textId="12029919">
      <w:pPr>
        <w:pStyle w:val="ssPara"/>
      </w:pPr>
      <w:r w:rsidRPr="009F4300">
        <w:t xml:space="preserve">Further, we acknowledge that the </w:t>
      </w:r>
      <w:r w:rsidR="00B21EE2">
        <w:t>Manager</w:t>
      </w:r>
      <w:r w:rsidRPr="009F4300">
        <w:t xml:space="preserve"> in relation to the </w:t>
      </w:r>
      <w:r w:rsidR="00D30F5C">
        <w:t>Sub-Fund</w:t>
      </w:r>
      <w:bookmarkStart w:name="BrochetPasteInsertCopyThisRange" w:id="415"/>
      <w:r w:rsidRPr="009F4300">
        <w:t xml:space="preserve"> in which we hold Units shall have the right to deduct and set off the amount of such Taxation from any income distributed to us or accumulated on any Units owned by us. Any amounts equal to such Taxation and not paid as described may be deducted from any proceeds payable where a redemption request is met.  The </w:t>
      </w:r>
      <w:r w:rsidR="00B21EE2">
        <w:t>Manager</w:t>
      </w:r>
      <w:r w:rsidRPr="009F4300">
        <w:t xml:space="preserve"> may also, pursuant to </w:t>
      </w:r>
      <w:r w:rsidR="00314A95">
        <w:t>C</w:t>
      </w:r>
      <w:r w:rsidRPr="00605E8C">
        <w:t>lause</w:t>
      </w:r>
      <w:r w:rsidRPr="00605E8C">
        <w:rPr>
          <w:b/>
          <w:bCs/>
        </w:rPr>
        <w:t xml:space="preserve"> </w:t>
      </w:r>
      <w:r w:rsidRPr="00605E8C">
        <w:rPr>
          <w:b/>
          <w:bCs/>
        </w:rPr>
        <w:fldChar w:fldCharType="begin"/>
      </w:r>
      <w:r w:rsidRPr="00605E8C">
        <w:rPr>
          <w:b/>
          <w:bCs/>
        </w:rPr>
        <w:instrText xml:space="preserve"> REF _Ref370900524 \r \h  \* MERGEFORMAT </w:instrText>
      </w:r>
      <w:r w:rsidRPr="00605E8C">
        <w:rPr>
          <w:b/>
          <w:bCs/>
        </w:rPr>
      </w:r>
      <w:r w:rsidRPr="00605E8C">
        <w:rPr>
          <w:b/>
          <w:bCs/>
        </w:rPr>
        <w:fldChar w:fldCharType="separate"/>
      </w:r>
      <w:r w:rsidR="00663122">
        <w:rPr>
          <w:b/>
          <w:bCs/>
          <w:cs/>
        </w:rPr>
        <w:t>‎</w:t>
      </w:r>
      <w:r w:rsidRPr="00663122" w:rsidR="00663122">
        <w:t>12.6</w:t>
      </w:r>
      <w:r w:rsidRPr="00605E8C">
        <w:rPr>
          <w:b/>
          <w:bCs/>
        </w:rPr>
        <w:fldChar w:fldCharType="end"/>
      </w:r>
      <w:r w:rsidRPr="009F4300">
        <w:t>, compulsorily redeem any of our Units and use the proceeds of such redemption to pay any relevant Taxation.</w:t>
      </w:r>
    </w:p>
    <w:p w:rsidRPr="009F4300" w:rsidR="00F238C5" w:rsidP="00997BE0" w:rsidRDefault="00997BE0" w14:paraId="32771773" w14:textId="092AD575">
      <w:pPr>
        <w:pStyle w:val="ssPara"/>
        <w:tabs>
          <w:tab w:val="left" w:pos="5670"/>
        </w:tabs>
        <w:jc w:val="left"/>
      </w:pPr>
      <w:r w:rsidRPr="009F4300">
        <w:tab/>
      </w:r>
      <w:r w:rsidRPr="009F4300" w:rsidR="00F238C5">
        <w:t>Signed: ................................................</w:t>
      </w:r>
    </w:p>
    <w:p w:rsidRPr="009F4300" w:rsidR="00F238C5" w:rsidP="00997BE0" w:rsidRDefault="00997BE0" w14:paraId="1DCB7590" w14:textId="479E4A4B">
      <w:pPr>
        <w:pStyle w:val="ssPara"/>
        <w:tabs>
          <w:tab w:val="left" w:pos="5670"/>
        </w:tabs>
        <w:jc w:val="left"/>
      </w:pPr>
      <w:r w:rsidRPr="009F4300">
        <w:tab/>
      </w:r>
      <w:r w:rsidRPr="009F4300" w:rsidR="00F238C5">
        <w:t>Unitholder or Principal (as appropriate)</w:t>
      </w:r>
    </w:p>
    <w:p w:rsidRPr="009F4300" w:rsidR="00F238C5" w:rsidP="00F238C5" w:rsidRDefault="00997BE0" w14:paraId="76BDEBB6" w14:textId="09CB4DFB">
      <w:pPr>
        <w:pStyle w:val="ssAgrTypeText"/>
        <w:rPr>
          <w:caps w:val="0"/>
        </w:rPr>
      </w:pPr>
      <w:r w:rsidRPr="009F4300">
        <w:rPr>
          <w:caps w:val="0"/>
        </w:rPr>
        <w:lastRenderedPageBreak/>
        <w:t>Notes</w:t>
      </w:r>
    </w:p>
    <w:p w:rsidRPr="009F4300" w:rsidR="00997BE0" w:rsidP="00997BE0" w:rsidRDefault="00997BE0" w14:paraId="577B3B92" w14:textId="77777777">
      <w:pPr>
        <w:pStyle w:val="ssRestartNumber"/>
      </w:pPr>
    </w:p>
    <w:p w:rsidRPr="009F4300" w:rsidR="00F238C5" w:rsidP="00997BE0" w:rsidRDefault="00F238C5" w14:paraId="6F088C11" w14:textId="7B8A7363">
      <w:pPr>
        <w:pStyle w:val="ssNoHeading1"/>
        <w:rPr>
          <w:sz w:val="20"/>
          <w:szCs w:val="20"/>
        </w:rPr>
      </w:pPr>
      <w:r w:rsidRPr="009F4300">
        <w:rPr>
          <w:sz w:val="20"/>
          <w:szCs w:val="20"/>
        </w:rPr>
        <w:t>Entities which are required to be authorised or regulated to operate in the financial markets.  The list below should be understood as including all authorised entities carrying out the characteristic activities of the entities mentioned: entities authorised by a Member State under a Directive, entities authorised or regulated by a Member State without reference to a Directive, and entities authorised or regulated by a non-Member State:</w:t>
      </w:r>
    </w:p>
    <w:p w:rsidRPr="009F4300" w:rsidR="00F238C5" w:rsidP="00997BE0" w:rsidRDefault="00F238C5" w14:paraId="35F25832" w14:textId="39032A78">
      <w:pPr>
        <w:pStyle w:val="ssNoHeading3"/>
        <w:rPr>
          <w:sz w:val="20"/>
          <w:szCs w:val="20"/>
        </w:rPr>
      </w:pPr>
      <w:r w:rsidRPr="009F4300">
        <w:rPr>
          <w:sz w:val="20"/>
          <w:szCs w:val="20"/>
        </w:rPr>
        <w:t>Credit institutions;</w:t>
      </w:r>
    </w:p>
    <w:p w:rsidRPr="009F4300" w:rsidR="00F238C5" w:rsidP="00997BE0" w:rsidRDefault="00F238C5" w14:paraId="2D2E3EEC" w14:textId="7DBE581C">
      <w:pPr>
        <w:pStyle w:val="ssNoHeading3"/>
        <w:rPr>
          <w:sz w:val="20"/>
          <w:szCs w:val="20"/>
        </w:rPr>
      </w:pPr>
      <w:r w:rsidRPr="009F4300">
        <w:rPr>
          <w:sz w:val="20"/>
          <w:szCs w:val="20"/>
        </w:rPr>
        <w:t>Investment firms;</w:t>
      </w:r>
    </w:p>
    <w:p w:rsidRPr="009F4300" w:rsidR="00F238C5" w:rsidP="00997BE0" w:rsidRDefault="00F238C5" w14:paraId="6230A585" w14:textId="211EA96E">
      <w:pPr>
        <w:pStyle w:val="ssNoHeading3"/>
        <w:rPr>
          <w:sz w:val="20"/>
          <w:szCs w:val="20"/>
        </w:rPr>
      </w:pPr>
      <w:r w:rsidRPr="009F4300">
        <w:rPr>
          <w:sz w:val="20"/>
          <w:szCs w:val="20"/>
        </w:rPr>
        <w:t>Other authorised or regulated financial institutions;</w:t>
      </w:r>
    </w:p>
    <w:p w:rsidRPr="009F4300" w:rsidR="00F238C5" w:rsidP="00997BE0" w:rsidRDefault="00F238C5" w14:paraId="7F4ACB96" w14:textId="4050F059">
      <w:pPr>
        <w:pStyle w:val="ssNoHeading3"/>
        <w:rPr>
          <w:sz w:val="20"/>
          <w:szCs w:val="20"/>
        </w:rPr>
      </w:pPr>
      <w:r w:rsidRPr="009F4300">
        <w:rPr>
          <w:sz w:val="20"/>
          <w:szCs w:val="20"/>
        </w:rPr>
        <w:t>Insurance companies;</w:t>
      </w:r>
    </w:p>
    <w:p w:rsidRPr="009F4300" w:rsidR="00F238C5" w:rsidP="00997BE0" w:rsidRDefault="00F238C5" w14:paraId="73712563" w14:textId="442F6C1A">
      <w:pPr>
        <w:pStyle w:val="ssNoHeading3"/>
        <w:rPr>
          <w:sz w:val="20"/>
          <w:szCs w:val="20"/>
        </w:rPr>
      </w:pPr>
      <w:r w:rsidRPr="009F4300">
        <w:rPr>
          <w:sz w:val="20"/>
          <w:szCs w:val="20"/>
        </w:rPr>
        <w:t>Collective investment schemes and management companies of such schemes;</w:t>
      </w:r>
    </w:p>
    <w:p w:rsidRPr="009F4300" w:rsidR="00F238C5" w:rsidP="00997BE0" w:rsidRDefault="00F238C5" w14:paraId="56B43662" w14:textId="69574404">
      <w:pPr>
        <w:pStyle w:val="ssNoHeading3"/>
        <w:rPr>
          <w:sz w:val="20"/>
          <w:szCs w:val="20"/>
        </w:rPr>
      </w:pPr>
      <w:r w:rsidRPr="009F4300">
        <w:rPr>
          <w:sz w:val="20"/>
          <w:szCs w:val="20"/>
        </w:rPr>
        <w:t>Pension funds and management companies of such funds;</w:t>
      </w:r>
    </w:p>
    <w:p w:rsidRPr="009F4300" w:rsidR="00F238C5" w:rsidP="00997BE0" w:rsidRDefault="00F238C5" w14:paraId="5A972B56" w14:textId="2B5B0DDD">
      <w:pPr>
        <w:pStyle w:val="ssNoHeading3"/>
        <w:rPr>
          <w:sz w:val="20"/>
          <w:szCs w:val="20"/>
        </w:rPr>
      </w:pPr>
      <w:r w:rsidRPr="009F4300">
        <w:rPr>
          <w:sz w:val="20"/>
          <w:szCs w:val="20"/>
        </w:rPr>
        <w:t>Commodity and commodity derivatives dealers;</w:t>
      </w:r>
    </w:p>
    <w:p w:rsidRPr="009F4300" w:rsidR="00F238C5" w:rsidP="00997BE0" w:rsidRDefault="00F238C5" w14:paraId="746664FF" w14:textId="2EEDFA69">
      <w:pPr>
        <w:pStyle w:val="ssNoHeading3"/>
        <w:rPr>
          <w:sz w:val="20"/>
          <w:szCs w:val="20"/>
        </w:rPr>
      </w:pPr>
      <w:r w:rsidRPr="009F4300">
        <w:rPr>
          <w:sz w:val="20"/>
          <w:szCs w:val="20"/>
        </w:rPr>
        <w:t>Locals; and</w:t>
      </w:r>
    </w:p>
    <w:p w:rsidRPr="009F4300" w:rsidR="00F238C5" w:rsidP="00997BE0" w:rsidRDefault="00F238C5" w14:paraId="173D73EA" w14:textId="72E221F2">
      <w:pPr>
        <w:pStyle w:val="ssNoHeading3"/>
        <w:rPr>
          <w:sz w:val="20"/>
          <w:szCs w:val="20"/>
        </w:rPr>
      </w:pPr>
      <w:r w:rsidRPr="009F4300">
        <w:rPr>
          <w:sz w:val="20"/>
          <w:szCs w:val="20"/>
        </w:rPr>
        <w:t>Other institutional investors.</w:t>
      </w:r>
    </w:p>
    <w:p w:rsidRPr="009F4300" w:rsidR="00F238C5" w:rsidP="00997BE0" w:rsidRDefault="00F238C5" w14:paraId="2B94936D" w14:textId="699D1214">
      <w:pPr>
        <w:pStyle w:val="ssNoHeading1"/>
        <w:rPr>
          <w:sz w:val="20"/>
          <w:szCs w:val="20"/>
        </w:rPr>
      </w:pPr>
      <w:r w:rsidRPr="009F4300">
        <w:rPr>
          <w:sz w:val="20"/>
          <w:szCs w:val="20"/>
        </w:rPr>
        <w:t>Large undertakings meeting two of the following size requirements on a company basis:</w:t>
      </w:r>
    </w:p>
    <w:p w:rsidRPr="009F4300" w:rsidR="00997BE0" w:rsidP="00997BE0" w:rsidRDefault="00997BE0" w14:paraId="335C200D" w14:textId="77777777">
      <w:pPr>
        <w:pStyle w:val="ssPara2"/>
        <w:rPr>
          <w:sz w:val="20"/>
          <w:szCs w:val="20"/>
        </w:rPr>
      </w:pPr>
      <w:r w:rsidRPr="009F4300">
        <w:rPr>
          <w:sz w:val="20"/>
          <w:szCs w:val="20"/>
        </w:rPr>
        <w:t>—</w:t>
      </w:r>
      <w:r w:rsidRPr="009F4300">
        <w:rPr>
          <w:sz w:val="20"/>
          <w:szCs w:val="20"/>
        </w:rPr>
        <w:tab/>
        <w:t>balance sheet total:</w:t>
      </w:r>
      <w:r w:rsidRPr="009F4300">
        <w:rPr>
          <w:sz w:val="20"/>
          <w:szCs w:val="20"/>
        </w:rPr>
        <w:tab/>
        <w:t>EUR 20,000,000;</w:t>
      </w:r>
    </w:p>
    <w:p w:rsidRPr="009F4300" w:rsidR="00997BE0" w:rsidP="00997BE0" w:rsidRDefault="00997BE0" w14:paraId="70466CB5" w14:textId="77777777">
      <w:pPr>
        <w:pStyle w:val="ssPara2"/>
        <w:rPr>
          <w:sz w:val="20"/>
          <w:szCs w:val="20"/>
        </w:rPr>
      </w:pPr>
      <w:r w:rsidRPr="009F4300">
        <w:rPr>
          <w:sz w:val="20"/>
          <w:szCs w:val="20"/>
        </w:rPr>
        <w:t>—</w:t>
      </w:r>
      <w:r w:rsidRPr="009F4300">
        <w:rPr>
          <w:sz w:val="20"/>
          <w:szCs w:val="20"/>
        </w:rPr>
        <w:tab/>
        <w:t>net turnover:</w:t>
      </w:r>
      <w:r w:rsidRPr="009F4300">
        <w:rPr>
          <w:sz w:val="20"/>
          <w:szCs w:val="20"/>
        </w:rPr>
        <w:tab/>
      </w:r>
      <w:r w:rsidRPr="009F4300">
        <w:rPr>
          <w:sz w:val="20"/>
          <w:szCs w:val="20"/>
        </w:rPr>
        <w:tab/>
        <w:t>EUR 40,000,000; and</w:t>
      </w:r>
    </w:p>
    <w:p w:rsidRPr="009F4300" w:rsidR="00997BE0" w:rsidP="00997BE0" w:rsidRDefault="00997BE0" w14:paraId="58C561B9" w14:textId="77777777">
      <w:pPr>
        <w:pStyle w:val="ssPara2"/>
        <w:rPr>
          <w:sz w:val="20"/>
          <w:szCs w:val="20"/>
        </w:rPr>
      </w:pPr>
      <w:r w:rsidRPr="009F4300">
        <w:rPr>
          <w:sz w:val="20"/>
          <w:szCs w:val="20"/>
        </w:rPr>
        <w:t>—</w:t>
      </w:r>
      <w:r w:rsidRPr="009F4300">
        <w:rPr>
          <w:sz w:val="20"/>
          <w:szCs w:val="20"/>
        </w:rPr>
        <w:tab/>
        <w:t>own funds:</w:t>
      </w:r>
      <w:r w:rsidRPr="009F4300">
        <w:rPr>
          <w:sz w:val="20"/>
          <w:szCs w:val="20"/>
        </w:rPr>
        <w:tab/>
      </w:r>
      <w:r w:rsidRPr="009F4300">
        <w:rPr>
          <w:sz w:val="20"/>
          <w:szCs w:val="20"/>
        </w:rPr>
        <w:tab/>
        <w:t>EUR 2,000,000.</w:t>
      </w:r>
    </w:p>
    <w:p w:rsidRPr="009F4300" w:rsidR="00F238C5" w:rsidP="00997BE0" w:rsidRDefault="00F238C5" w14:paraId="04D51FEC" w14:textId="0F6B4575">
      <w:pPr>
        <w:pStyle w:val="ssNoHeading1"/>
        <w:rPr>
          <w:sz w:val="20"/>
          <w:szCs w:val="20"/>
        </w:rPr>
      </w:pPr>
      <w:r w:rsidRPr="009F4300">
        <w:rPr>
          <w:sz w:val="20"/>
          <w:szCs w:val="20"/>
        </w:rPr>
        <w:t>National and regional governments, public bodies that manage public debt, Central Banks, international and supranational institutions such as the World Bank, the IMF, the ECB, the EIB and other similar international organisations.</w:t>
      </w:r>
    </w:p>
    <w:p w:rsidRPr="009F4300" w:rsidR="00F238C5" w:rsidP="00997BE0" w:rsidRDefault="00F238C5" w14:paraId="7F3644C5" w14:textId="77E2229D">
      <w:pPr>
        <w:pStyle w:val="ssNoHeading1"/>
        <w:rPr>
          <w:sz w:val="20"/>
          <w:szCs w:val="20"/>
        </w:rPr>
      </w:pPr>
      <w:r w:rsidRPr="009F4300">
        <w:rPr>
          <w:sz w:val="20"/>
          <w:szCs w:val="20"/>
        </w:rPr>
        <w:t>Other institutional investors whose main activity is to invest in financial instruments, including entities dedicated to the securitisation of assets or other financing transactions.</w:t>
      </w:r>
    </w:p>
    <w:p w:rsidRPr="009F4300" w:rsidR="00997BE0" w:rsidRDefault="00997BE0" w14:paraId="3956DF24" w14:textId="0824B70E">
      <w:pPr>
        <w:jc w:val="left"/>
      </w:pPr>
      <w:r w:rsidRPr="009F4300">
        <w:br w:type="page"/>
      </w:r>
    </w:p>
    <w:p w:rsidRPr="009F4300" w:rsidR="00997BE0" w:rsidP="00997BE0" w:rsidRDefault="00997BE0" w14:paraId="41209255" w14:textId="77576C92">
      <w:pPr>
        <w:pStyle w:val="ssPara"/>
      </w:pPr>
      <w:r w:rsidRPr="009F4300">
        <w:rPr>
          <w:b/>
          <w:bCs/>
        </w:rPr>
        <w:lastRenderedPageBreak/>
        <w:t>IN WITNESS</w:t>
      </w:r>
      <w:r w:rsidRPr="009F4300">
        <w:t xml:space="preserve"> whereof this </w:t>
      </w:r>
      <w:r w:rsidR="00B21EE2">
        <w:t>Deed</w:t>
      </w:r>
      <w:r w:rsidRPr="009F4300">
        <w:t xml:space="preserve"> has been executed and delivered by the </w:t>
      </w:r>
      <w:r w:rsidR="00B21EE2">
        <w:t>Manager</w:t>
      </w:r>
      <w:r w:rsidRPr="009F4300">
        <w:t xml:space="preserve"> and the Depositary the day and year first above written</w:t>
      </w:r>
    </w:p>
    <w:p w:rsidRPr="009F4300" w:rsidR="00997BE0" w:rsidP="006B40B1" w:rsidRDefault="00997BE0" w14:paraId="5CA9FDCA" w14:textId="21683A85">
      <w:pPr>
        <w:pStyle w:val="ssPara"/>
        <w:tabs>
          <w:tab w:val="left" w:pos="2977"/>
        </w:tabs>
        <w:spacing w:after="0"/>
      </w:pPr>
      <w:r w:rsidRPr="009F4300">
        <w:rPr>
          <w:b/>
          <w:bCs/>
        </w:rPr>
        <w:t>SIGNED</w:t>
      </w:r>
      <w:r w:rsidRPr="009F4300">
        <w:t xml:space="preserve"> as a </w:t>
      </w:r>
      <w:r w:rsidRPr="009F4300">
        <w:rPr>
          <w:b/>
          <w:bCs/>
        </w:rPr>
        <w:t>DEED</w:t>
      </w:r>
      <w:r w:rsidRPr="009F4300">
        <w:t xml:space="preserve"> by</w:t>
      </w:r>
      <w:r w:rsidRPr="009F4300">
        <w:tab/>
        <w:t>)</w:t>
      </w:r>
    </w:p>
    <w:p w:rsidRPr="009F4300" w:rsidR="00997BE0" w:rsidP="006B40B1" w:rsidRDefault="00997BE0" w14:paraId="007A17A9" w14:textId="7470B326">
      <w:pPr>
        <w:pStyle w:val="ssPara"/>
        <w:tabs>
          <w:tab w:val="left" w:pos="2977"/>
        </w:tabs>
        <w:spacing w:after="0"/>
      </w:pPr>
      <w:r w:rsidRPr="009F4300">
        <w:rPr>
          <w:b/>
          <w:bCs/>
        </w:rPr>
        <w:t>[</w:t>
      </w:r>
      <w:r w:rsidRPr="00CE0DD9" w:rsidR="00B21EE2">
        <w:rPr>
          <w:b/>
          <w:bCs/>
          <w:highlight w:val="yellow"/>
        </w:rPr>
        <w:t>MANAGER</w:t>
      </w:r>
      <w:r w:rsidRPr="009F4300">
        <w:rPr>
          <w:b/>
          <w:bCs/>
        </w:rPr>
        <w:t>]</w:t>
      </w:r>
      <w:r w:rsidRPr="009F4300">
        <w:tab/>
        <w:t>)</w:t>
      </w:r>
    </w:p>
    <w:p w:rsidRPr="009F4300" w:rsidR="00997BE0" w:rsidP="006B40B1" w:rsidRDefault="00997BE0" w14:paraId="66EA69BC" w14:textId="536CBD8C">
      <w:pPr>
        <w:pStyle w:val="ssPara"/>
        <w:tabs>
          <w:tab w:val="left" w:pos="2977"/>
        </w:tabs>
      </w:pPr>
      <w:r w:rsidRPr="009F4300">
        <w:t>acting by:</w:t>
      </w:r>
      <w:r w:rsidRPr="009F4300" w:rsidR="006B40B1">
        <w:tab/>
      </w:r>
      <w:r w:rsidRPr="009F4300">
        <w:t>)</w:t>
      </w:r>
    </w:p>
    <w:p w:rsidRPr="009F4300" w:rsidR="00997BE0" w:rsidP="00997BE0" w:rsidRDefault="00997BE0" w14:paraId="267C8DC6" w14:textId="77777777">
      <w:pPr>
        <w:pStyle w:val="ssPara"/>
      </w:pPr>
    </w:p>
    <w:p w:rsidRPr="009F4300" w:rsidR="00997BE0" w:rsidP="006B40B1" w:rsidRDefault="00997BE0" w14:paraId="1357B4BB" w14:textId="3F5EAC8A">
      <w:pPr>
        <w:pStyle w:val="ssPara"/>
        <w:tabs>
          <w:tab w:val="left" w:pos="2977"/>
        </w:tabs>
        <w:spacing w:after="0"/>
      </w:pPr>
      <w:r w:rsidRPr="009F4300">
        <w:rPr>
          <w:b/>
          <w:bCs/>
        </w:rPr>
        <w:t>SIGNED</w:t>
      </w:r>
      <w:r w:rsidRPr="009F4300">
        <w:t xml:space="preserve"> as a </w:t>
      </w:r>
      <w:r w:rsidRPr="009F4300">
        <w:rPr>
          <w:b/>
          <w:bCs/>
        </w:rPr>
        <w:t>DEED</w:t>
      </w:r>
      <w:r w:rsidRPr="009F4300">
        <w:t xml:space="preserve"> by</w:t>
      </w:r>
      <w:r w:rsidRPr="009F4300">
        <w:tab/>
        <w:t>)</w:t>
      </w:r>
    </w:p>
    <w:p w:rsidRPr="009F4300" w:rsidR="00997BE0" w:rsidP="006B40B1" w:rsidRDefault="00997BE0" w14:paraId="26BD2E92" w14:textId="77777777">
      <w:pPr>
        <w:pStyle w:val="ssPara"/>
        <w:tabs>
          <w:tab w:val="left" w:pos="2977"/>
        </w:tabs>
        <w:spacing w:after="0"/>
      </w:pPr>
      <w:r w:rsidRPr="009F4300">
        <w:rPr>
          <w:b/>
          <w:bCs/>
        </w:rPr>
        <w:t>[</w:t>
      </w:r>
      <w:r w:rsidRPr="00CE0DD9">
        <w:rPr>
          <w:b/>
          <w:bCs/>
          <w:highlight w:val="yellow"/>
        </w:rPr>
        <w:t>DEPOSITARY</w:t>
      </w:r>
      <w:r w:rsidRPr="009F4300">
        <w:rPr>
          <w:b/>
          <w:bCs/>
        </w:rPr>
        <w:t>]</w:t>
      </w:r>
      <w:r w:rsidRPr="009F4300">
        <w:tab/>
        <w:t>)</w:t>
      </w:r>
    </w:p>
    <w:p w:rsidRPr="009F4300" w:rsidR="00997BE0" w:rsidP="006B40B1" w:rsidRDefault="00AE0725" w14:paraId="025AE248" w14:textId="234677E2">
      <w:pPr>
        <w:pStyle w:val="ssPara"/>
        <w:tabs>
          <w:tab w:val="left" w:pos="2977"/>
        </w:tabs>
      </w:pPr>
      <w:r>
        <w:t>acting by</w:t>
      </w:r>
      <w:r w:rsidRPr="009F4300" w:rsidR="00997BE0">
        <w:t>:</w:t>
      </w:r>
      <w:r w:rsidRPr="009F4300" w:rsidR="006B40B1">
        <w:tab/>
      </w:r>
      <w:r w:rsidRPr="009F4300" w:rsidR="00997BE0">
        <w:t>)</w:t>
      </w:r>
    </w:p>
    <w:bookmarkEnd w:id="415"/>
    <w:p w:rsidR="00782A35" w:rsidRDefault="00782A35" w14:paraId="038F5414" w14:textId="1C79DE42">
      <w:pPr>
        <w:jc w:val="left"/>
      </w:pPr>
      <w:r>
        <w:br w:type="page"/>
      </w:r>
    </w:p>
    <w:p w:rsidRPr="009F4300" w:rsidR="00997BE0" w:rsidP="00997BE0" w:rsidRDefault="00997BE0" w14:paraId="0A50513D" w14:textId="77777777">
      <w:pPr>
        <w:pStyle w:val="ssPara"/>
      </w:pPr>
    </w:p>
    <w:sectPr w:rsidRPr="009F4300" w:rsidR="00997BE0" w:rsidSect="00A54CA9">
      <w:footerReference w:type="default" r:id="rId20"/>
      <w:endnotePr>
        <w:numFmt w:val="decimal"/>
      </w:endnotePr>
      <w:pgSz w:w="11906" w:h="16838" w:code="9"/>
      <w:pgMar w:top="1418" w:right="1191" w:bottom="567" w:left="1191" w:header="567"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7658" w:rsidP="002145F3" w:rsidRDefault="007F7658" w14:paraId="60F149D2" w14:textId="77777777">
      <w:r>
        <w:separator/>
      </w:r>
    </w:p>
    <w:p w:rsidR="007F7658" w:rsidRDefault="007F7658" w14:paraId="23A9E90A" w14:textId="77777777"/>
  </w:endnote>
  <w:endnote w:type="continuationSeparator" w:id="0">
    <w:p w:rsidR="007F7658" w:rsidP="002145F3" w:rsidRDefault="007F7658" w14:paraId="545DAEA7" w14:textId="77777777">
      <w:r>
        <w:continuationSeparator/>
      </w:r>
    </w:p>
    <w:p w:rsidR="007F7658" w:rsidRDefault="007F7658" w14:paraId="290217B5" w14:textId="77777777"/>
  </w:endnote>
  <w:endnote w:id="1">
    <w:p w:rsidRPr="00DA5FCD" w:rsidR="00763112" w:rsidP="00D4005A" w:rsidRDefault="00763112" w14:paraId="261341BB" w14:textId="6354C342">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E974DC">
        <w:rPr>
          <w:rFonts w:asciiTheme="minorHAnsi" w:hAnsiTheme="minorHAnsi" w:cstheme="minorHAnsi"/>
        </w:rPr>
        <w:tab/>
      </w:r>
      <w:r w:rsidRPr="00DA5FCD">
        <w:rPr>
          <w:rFonts w:asciiTheme="minorHAnsi" w:hAnsiTheme="minorHAnsi" w:cstheme="minorHAnsi"/>
        </w:rPr>
        <w:t>The name must include “long</w:t>
      </w:r>
      <w:r w:rsidR="00B12E1C">
        <w:rPr>
          <w:rFonts w:asciiTheme="minorHAnsi" w:hAnsiTheme="minorHAnsi" w:cstheme="minorHAnsi"/>
        </w:rPr>
        <w:t>-</w:t>
      </w:r>
      <w:r w:rsidRPr="00DA5FCD">
        <w:rPr>
          <w:rFonts w:asciiTheme="minorHAnsi" w:hAnsiTheme="minorHAnsi" w:cstheme="minorHAnsi"/>
        </w:rPr>
        <w:t>term asset fund” or “LTAF”. See COLL 15.3.3</w:t>
      </w:r>
      <w:r w:rsidRPr="00DA5FCD" w:rsidR="002B14E8">
        <w:rPr>
          <w:rFonts w:asciiTheme="minorHAnsi" w:hAnsiTheme="minorHAnsi" w:cstheme="minorHAnsi"/>
        </w:rPr>
        <w:t>R</w:t>
      </w:r>
      <w:r w:rsidRPr="00DA5FCD">
        <w:rPr>
          <w:rFonts w:asciiTheme="minorHAnsi" w:hAnsiTheme="minorHAnsi" w:cstheme="minorHAnsi"/>
        </w:rPr>
        <w:t>(2).</w:t>
      </w:r>
    </w:p>
  </w:endnote>
  <w:endnote w:id="2">
    <w:p w:rsidRPr="00DA5FCD" w:rsidR="00C23729" w:rsidP="00D4005A" w:rsidRDefault="00C23729" w14:paraId="17EF222D" w14:textId="0582DA54">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Delete if intermediate holding vehicle not to be used such that the defined term will not be used (see Part 1 to the Schedule).</w:t>
      </w:r>
    </w:p>
  </w:endnote>
  <w:endnote w:id="3">
    <w:p w:rsidR="00726E9D" w:rsidP="00726E9D" w:rsidRDefault="00726E9D" w14:paraId="6FD9E932" w14:textId="13B0D552">
      <w:pPr>
        <w:pStyle w:val="EndnoteText"/>
        <w:ind w:left="720" w:hanging="720"/>
      </w:pPr>
      <w:r>
        <w:rPr>
          <w:rStyle w:val="EndnoteReference"/>
        </w:rPr>
        <w:endnoteRef/>
      </w:r>
      <w:r>
        <w:t xml:space="preserve"> </w:t>
      </w:r>
      <w:r>
        <w:tab/>
        <w:t>See COLL 15.1.3 R (4). This definition is only required where the scheme has a Limited Protection LTAF Class and the rules listed in COLL 15.1.3 R (4)(b) have not been applied in relation to the Limited Protection LTAF Class.</w:t>
      </w:r>
    </w:p>
  </w:endnote>
  <w:endnote w:id="4">
    <w:p w:rsidR="005A54C9" w:rsidP="00726E9D" w:rsidRDefault="005A54C9" w14:paraId="4F8B8185" w14:textId="739B2F8B">
      <w:pPr>
        <w:pStyle w:val="EndnoteText"/>
        <w:ind w:left="720" w:hanging="720"/>
      </w:pPr>
      <w:r>
        <w:rPr>
          <w:rStyle w:val="EndnoteReference"/>
        </w:rPr>
        <w:endnoteRef/>
      </w:r>
      <w:r>
        <w:t xml:space="preserve"> </w:t>
      </w:r>
      <w:r>
        <w:tab/>
      </w:r>
      <w:r w:rsidR="00726E9D">
        <w:t>See COLL 15.1.3 R (4). This definition is only required where the scheme is intended only for Limited Protection LTAF Investors or if the scheme has a Limited Protection LTAF Class and the rules listed in COLL 15.1.3 R (4)(b) have not been applied in relation to the scheme or the Limited Protection LTAF Class.</w:t>
      </w:r>
    </w:p>
  </w:endnote>
  <w:endnote w:id="5">
    <w:p w:rsidRPr="00DA5FCD" w:rsidR="00493145" w:rsidP="00D4005A" w:rsidRDefault="00493145" w14:paraId="3E8934CF" w14:textId="669CF507">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 xml:space="preserve">Delete definitions of Side Pocket Assets, Special Investment Class and Special Investment </w:t>
      </w:r>
      <w:r w:rsidRPr="00DA5FCD" w:rsidR="00695E22">
        <w:rPr>
          <w:rFonts w:asciiTheme="minorHAnsi" w:hAnsiTheme="minorHAnsi" w:cstheme="minorHAnsi"/>
        </w:rPr>
        <w:t>Unit</w:t>
      </w:r>
      <w:r w:rsidRPr="00DA5FCD">
        <w:rPr>
          <w:rFonts w:asciiTheme="minorHAnsi" w:hAnsiTheme="minorHAnsi" w:cstheme="minorHAnsi"/>
        </w:rPr>
        <w:t>s if side pockets not to be used.</w:t>
      </w:r>
    </w:p>
  </w:endnote>
  <w:endnote w:id="6">
    <w:p w:rsidRPr="00DA5FCD" w:rsidR="0093511B" w:rsidP="00D4005A" w:rsidRDefault="0093511B" w14:paraId="3344264E" w14:textId="6FED1A78">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See COLL 15.3.6 R 3(2).</w:t>
      </w:r>
    </w:p>
  </w:endnote>
  <w:endnote w:id="7">
    <w:p w:rsidRPr="00DA5FCD" w:rsidR="0093511B" w:rsidP="00D4005A" w:rsidRDefault="0093511B" w14:paraId="185C2F08" w14:textId="761D610E">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See COLL 15.3.6 R 1(1).</w:t>
      </w:r>
    </w:p>
  </w:endnote>
  <w:endnote w:id="8">
    <w:p w:rsidRPr="00DA5FCD" w:rsidR="0093511B" w:rsidP="00D4005A" w:rsidRDefault="0093511B" w14:paraId="20E01908" w14:textId="602152D7">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See COLL 15.3.6 R 4.</w:t>
      </w:r>
    </w:p>
  </w:endnote>
  <w:endnote w:id="9">
    <w:p w:rsidRPr="00730F62" w:rsidR="00B004FE" w:rsidP="00B004FE" w:rsidRDefault="00B004FE" w14:paraId="0B4BDC34" w14:textId="77777777">
      <w:pPr>
        <w:pStyle w:val="EndnoteText"/>
        <w:spacing w:before="60"/>
      </w:pPr>
      <w:r w:rsidRPr="00F55806">
        <w:rPr>
          <w:rStyle w:val="EndnoteReference"/>
          <w:szCs w:val="17"/>
        </w:rPr>
        <w:endnoteRef/>
      </w:r>
      <w:r>
        <w:tab/>
        <w:t>See COLL 15.3.6 R 4.</w:t>
      </w:r>
    </w:p>
  </w:endnote>
  <w:endnote w:id="10">
    <w:p w:rsidRPr="00DA5FCD" w:rsidR="0093511B" w:rsidP="00D4005A" w:rsidRDefault="0093511B" w14:paraId="458EB655" w14:textId="3B3C9432">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To reflect The Collective Investment in Transferable Securities (Contractual Scheme) Regulations 2013 Part 2 (amendment to section 235 of FSMA – new section 235A(3)(c))</w:t>
      </w:r>
      <w:r w:rsidR="00DA5FCD">
        <w:rPr>
          <w:rFonts w:asciiTheme="minorHAnsi" w:hAnsiTheme="minorHAnsi" w:cstheme="minorHAnsi"/>
        </w:rPr>
        <w:t>.</w:t>
      </w:r>
    </w:p>
  </w:endnote>
  <w:endnote w:id="11">
    <w:p w:rsidRPr="00DA5FCD" w:rsidR="00D53641" w:rsidP="00D4005A" w:rsidRDefault="00D53641" w14:paraId="46493FF3" w14:textId="2A6AD8D6">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00DA5FCD">
        <w:rPr>
          <w:rFonts w:asciiTheme="minorHAnsi" w:hAnsiTheme="minorHAnsi" w:cstheme="minorHAnsi"/>
        </w:rPr>
        <w:tab/>
      </w:r>
      <w:r w:rsidRPr="00DA5FCD">
        <w:rPr>
          <w:rFonts w:asciiTheme="minorHAnsi" w:hAnsiTheme="minorHAnsi" w:cstheme="minorHAnsi"/>
        </w:rPr>
        <w:t>Th</w:t>
      </w:r>
      <w:r w:rsidR="00770882">
        <w:rPr>
          <w:rFonts w:asciiTheme="minorHAnsi" w:hAnsiTheme="minorHAnsi" w:cstheme="minorHAnsi"/>
        </w:rPr>
        <w:t>ese provisions</w:t>
      </w:r>
      <w:r w:rsidRPr="00DA5FCD">
        <w:rPr>
          <w:rFonts w:asciiTheme="minorHAnsi" w:hAnsiTheme="minorHAnsi" w:cstheme="minorHAnsi"/>
        </w:rPr>
        <w:t xml:space="preserve"> will be applicable only for an umbrella scheme and should be deleted where not required. See endnote 2.</w:t>
      </w:r>
    </w:p>
  </w:endnote>
  <w:endnote w:id="12">
    <w:p w:rsidRPr="00DA5FCD" w:rsidR="00250312" w:rsidP="00D4005A" w:rsidRDefault="00250312" w14:paraId="647DAA8B" w14:textId="1374D226">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This assumes a separate Depositary Agreement.</w:t>
      </w:r>
    </w:p>
  </w:endnote>
  <w:endnote w:id="13">
    <w:p w:rsidRPr="00DA5FCD" w:rsidR="00250312" w:rsidP="00D4005A" w:rsidRDefault="00250312" w14:paraId="6F6FB639" w14:textId="100FB42A">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To reflect The Collective Investment in Transferable Securities (Contractual Scheme) Regulations 2013 (Part 2, section 235A 3(d))</w:t>
      </w:r>
    </w:p>
  </w:endnote>
  <w:endnote w:id="14">
    <w:p w:rsidRPr="00DA5FCD" w:rsidR="00250312" w:rsidP="00D4005A" w:rsidRDefault="00250312" w14:paraId="329786B3" w14:textId="14200DED">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To reflect The Collective Investment in Transferable Securities (Contractual Scheme) Regulations 2013 (amendment to FSMA - Part 2, section 235A 3(e).</w:t>
      </w:r>
    </w:p>
  </w:endnote>
  <w:endnote w:id="15">
    <w:p w:rsidRPr="00DA5FCD" w:rsidR="0093511B" w:rsidP="00D4005A" w:rsidRDefault="0093511B" w14:paraId="13196101" w14:textId="7D1C7803">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 xml:space="preserve">The powers and duties of the Manager and Depositary must be set out in the </w:t>
      </w:r>
      <w:r w:rsidR="00770882">
        <w:rPr>
          <w:rFonts w:asciiTheme="minorHAnsi" w:hAnsiTheme="minorHAnsi" w:cstheme="minorHAnsi"/>
        </w:rPr>
        <w:t>deed</w:t>
      </w:r>
      <w:r w:rsidRPr="00DA5FCD">
        <w:rPr>
          <w:rFonts w:asciiTheme="minorHAnsi" w:hAnsiTheme="minorHAnsi" w:cstheme="minorHAnsi"/>
        </w:rPr>
        <w:t xml:space="preserve"> as per COLL</w:t>
      </w:r>
      <w:r w:rsidR="00770882">
        <w:rPr>
          <w:rFonts w:asciiTheme="minorHAnsi" w:hAnsiTheme="minorHAnsi" w:cstheme="minorHAnsi"/>
        </w:rPr>
        <w:t> </w:t>
      </w:r>
      <w:r w:rsidRPr="00DA5FCD">
        <w:rPr>
          <w:rFonts w:asciiTheme="minorHAnsi" w:hAnsiTheme="minorHAnsi" w:cstheme="minorHAnsi"/>
        </w:rPr>
        <w:t>15.3.6 R 11. See also COLL 15.3.6 R 14.</w:t>
      </w:r>
    </w:p>
  </w:endnote>
  <w:endnote w:id="16">
    <w:p w:rsidR="00BC7FF0" w:rsidP="00D4005A" w:rsidRDefault="00BC7FF0" w14:paraId="4EAD3F6D" w14:textId="41A4E076">
      <w:pPr>
        <w:pStyle w:val="EndnoteText"/>
        <w:spacing w:line="360" w:lineRule="auto"/>
      </w:pPr>
      <w:r>
        <w:rPr>
          <w:rStyle w:val="EndnoteReference"/>
        </w:rPr>
        <w:endnoteRef/>
      </w:r>
      <w:r>
        <w:t xml:space="preserve"> </w:t>
      </w:r>
      <w:r>
        <w:tab/>
        <w:t>See COLL 15.8.9 R</w:t>
      </w:r>
      <w:r w:rsidR="00AC18E3">
        <w:t>.</w:t>
      </w:r>
    </w:p>
  </w:endnote>
  <w:endnote w:id="17">
    <w:p w:rsidR="00022F49" w:rsidP="005A54C9" w:rsidRDefault="00C80C02" w14:paraId="0E9A1369" w14:textId="3DF0C988">
      <w:pPr>
        <w:pStyle w:val="EndnoteText"/>
        <w:ind w:left="720" w:hanging="720"/>
      </w:pPr>
      <w:r>
        <w:rPr>
          <w:rStyle w:val="EndnoteReference"/>
        </w:rPr>
        <w:endnoteRef/>
      </w:r>
      <w:r>
        <w:t xml:space="preserve"> </w:t>
      </w:r>
      <w:r>
        <w:tab/>
      </w:r>
      <w:bookmarkStart w:name="_Hlk153962585" w:id="82"/>
      <w:r>
        <w:t xml:space="preserve">See COLL 15.1.3 R (4). This wording is only required </w:t>
      </w:r>
      <w:r w:rsidR="00022F49">
        <w:t>where the scheme is intended only for Limited Protection LTAF Investors or</w:t>
      </w:r>
      <w:r w:rsidR="005A54C9">
        <w:t xml:space="preserve"> if</w:t>
      </w:r>
      <w:r w:rsidR="00022F49">
        <w:t xml:space="preserve"> the scheme has a Limited Protection LTAF Class and the rules listed in COLL 15.1.3 R (4)(b) have not bee</w:t>
      </w:r>
      <w:r w:rsidR="00712A10">
        <w:t>n</w:t>
      </w:r>
      <w:r w:rsidR="00022F49">
        <w:t xml:space="preserve"> applied in relation to the scheme or the Limited Protection LTAF Class.</w:t>
      </w:r>
      <w:bookmarkEnd w:id="82"/>
    </w:p>
    <w:p w:rsidR="00C80C02" w:rsidRDefault="00022F49" w14:paraId="3BF682B4" w14:textId="1681DA22">
      <w:pPr>
        <w:pStyle w:val="EndnoteText"/>
      </w:pPr>
      <w:r>
        <w:t xml:space="preserve"> </w:t>
      </w:r>
    </w:p>
  </w:endnote>
  <w:endnote w:id="18">
    <w:p w:rsidR="00256407" w:rsidP="00D4005A" w:rsidRDefault="00256407" w14:paraId="4F33CE32" w14:textId="2ADED52D">
      <w:pPr>
        <w:pStyle w:val="EndnoteText"/>
        <w:spacing w:line="360" w:lineRule="auto"/>
      </w:pPr>
      <w:r>
        <w:rPr>
          <w:rStyle w:val="EndnoteReference"/>
        </w:rPr>
        <w:endnoteRef/>
      </w:r>
      <w:r>
        <w:t xml:space="preserve"> </w:t>
      </w:r>
      <w:r>
        <w:tab/>
        <w:t>See COLL 15.8.10 R</w:t>
      </w:r>
      <w:r w:rsidR="00AC18E3">
        <w:t>.</w:t>
      </w:r>
    </w:p>
  </w:endnote>
  <w:endnote w:id="19">
    <w:p w:rsidRPr="00DA5FCD" w:rsidR="00D53641" w:rsidP="00D4005A" w:rsidRDefault="00D53641" w14:paraId="08D23EE7" w14:textId="6A89B28E">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See COLL 15.3.6 R 9.</w:t>
      </w:r>
    </w:p>
  </w:endnote>
  <w:endnote w:id="20">
    <w:p w:rsidR="00973557" w:rsidRDefault="00973557" w14:paraId="4201AEF5" w14:textId="3FFDEE4A">
      <w:pPr>
        <w:pStyle w:val="EndnoteText"/>
      </w:pPr>
      <w:r>
        <w:rPr>
          <w:rStyle w:val="EndnoteReference"/>
        </w:rPr>
        <w:endnoteRef/>
      </w:r>
      <w:r>
        <w:t xml:space="preserve"> </w:t>
      </w:r>
      <w:r>
        <w:tab/>
        <w:t>See COLL 15.</w:t>
      </w:r>
      <w:r w:rsidR="009C4DB1">
        <w:t>3.2R</w:t>
      </w:r>
      <w:r w:rsidR="00712A10">
        <w:t>.</w:t>
      </w:r>
    </w:p>
  </w:endnote>
  <w:endnote w:id="21">
    <w:p w:rsidRPr="00DA5FCD" w:rsidR="00D53641" w:rsidP="00D4005A" w:rsidRDefault="00D53641" w14:paraId="5608FA7E" w14:textId="3F93D1A5">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This list is intended to allow all types of units that may be launched in order to allow flexibility even if not all the classes listed will be launched at the outset.</w:t>
      </w:r>
    </w:p>
  </w:endnote>
  <w:endnote w:id="22">
    <w:p w:rsidR="009C4DB1" w:rsidRDefault="009C4DB1" w14:paraId="6F5223C4" w14:textId="647C2EFD">
      <w:pPr>
        <w:pStyle w:val="EndnoteText"/>
      </w:pPr>
      <w:r>
        <w:rPr>
          <w:rStyle w:val="EndnoteReference"/>
        </w:rPr>
        <w:endnoteRef/>
      </w:r>
      <w:r>
        <w:t xml:space="preserve"> </w:t>
      </w:r>
      <w:r>
        <w:tab/>
      </w:r>
      <w:r w:rsidRPr="009C4DB1">
        <w:t>See COLL 15.4.</w:t>
      </w:r>
      <w:r>
        <w:t>5</w:t>
      </w:r>
      <w:r w:rsidRPr="009C4DB1">
        <w:t xml:space="preserve"> R </w:t>
      </w:r>
      <w:r>
        <w:t>(</w:t>
      </w:r>
      <w:r w:rsidRPr="009C4DB1">
        <w:t>2</w:t>
      </w:r>
      <w:r>
        <w:t>)(15).</w:t>
      </w:r>
    </w:p>
  </w:endnote>
  <w:endnote w:id="23">
    <w:p w:rsidRPr="00DA5FCD" w:rsidR="00153CF8" w:rsidP="00D4005A" w:rsidRDefault="00153CF8" w14:paraId="1952FAF1" w14:textId="77777777">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used.</w:t>
      </w:r>
    </w:p>
  </w:endnote>
  <w:endnote w:id="24">
    <w:p w:rsidRPr="00DA5FCD" w:rsidR="00250312" w:rsidP="00D4005A" w:rsidRDefault="00250312" w14:paraId="08C48F72" w14:textId="57B23B92">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As there are a number of different ways which this can be done, this has been left deliberately brief.  The detail should be contained in the Prospectus to reflect how the relevant firm operates it</w:t>
      </w:r>
    </w:p>
  </w:endnote>
  <w:endnote w:id="25">
    <w:p w:rsidRPr="00DA5FCD" w:rsidR="003B5236" w:rsidP="00D4005A" w:rsidRDefault="003B5236" w14:paraId="1B6F7F38" w14:textId="77777777">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This provision has been left brief with a view to the prospectus setting out the detail as to how switches will be done. Delete provision if not an umbrella fund. If the fund uses a performance fee consider whether this provision could be amended to include in the non-exhaustive list of conditions  to which the provision is subject that a switch may lead to crystallisation  of a performance fee where one has  been accrued but not crystallised at the point of the switch.</w:t>
      </w:r>
    </w:p>
  </w:endnote>
  <w:endnote w:id="26">
    <w:p w:rsidRPr="00DA5FCD" w:rsidR="003B5236" w:rsidP="00D4005A" w:rsidRDefault="003B5236" w14:paraId="74119DC4" w14:textId="182E3FB0">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This provision has been left brief with a view to the prospectus setting out the detail as to how conversions will be done. If the fund uses a  performance fee consider whether  this provision could be amended to include in the non-exhaustive list of conditions to which the provision is subject that a conversion may lead to crystallisation of a performance fee where one has been accrued but not crystallised at the point of the conversion.</w:t>
      </w:r>
    </w:p>
  </w:endnote>
  <w:endnote w:id="27">
    <w:p w:rsidRPr="00DA5FCD" w:rsidR="00C21A42" w:rsidP="00D4005A" w:rsidRDefault="00C21A42" w14:paraId="0AE1F728" w14:textId="77777777">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used.</w:t>
      </w:r>
    </w:p>
  </w:endnote>
  <w:endnote w:id="28">
    <w:p w:rsidRPr="00DA5FCD" w:rsidR="003B5236" w:rsidP="00D4005A" w:rsidRDefault="003B5236" w14:paraId="58B3D28D" w14:textId="77777777">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See COLL 15.8.5 R(5).</w:t>
      </w:r>
    </w:p>
  </w:endnote>
  <w:endnote w:id="29">
    <w:p w:rsidR="00B51E94" w:rsidP="00D4005A" w:rsidRDefault="00B51E94" w14:paraId="6B0276A2" w14:textId="5559CC1E">
      <w:pPr>
        <w:pStyle w:val="EndnoteText"/>
        <w:spacing w:line="360" w:lineRule="auto"/>
      </w:pPr>
      <w:r>
        <w:rPr>
          <w:rStyle w:val="EndnoteReference"/>
        </w:rPr>
        <w:endnoteRef/>
      </w:r>
      <w:r>
        <w:t xml:space="preserve"> </w:t>
      </w:r>
      <w:r>
        <w:tab/>
        <w:t>See COLL 15.3.6 R(6)(1)(b)</w:t>
      </w:r>
      <w:r w:rsidR="00AC18E3">
        <w:t>.</w:t>
      </w:r>
    </w:p>
  </w:endnote>
  <w:endnote w:id="30">
    <w:p w:rsidR="00AC18E3" w:rsidP="00D4005A" w:rsidRDefault="00AC18E3" w14:paraId="62CB039B" w14:textId="502FD060">
      <w:pPr>
        <w:pStyle w:val="EndnoteText"/>
        <w:spacing w:line="360" w:lineRule="auto"/>
      </w:pPr>
      <w:r>
        <w:rPr>
          <w:rStyle w:val="EndnoteReference"/>
        </w:rPr>
        <w:endnoteRef/>
      </w:r>
      <w:r>
        <w:t xml:space="preserve"> </w:t>
      </w:r>
      <w:r>
        <w:tab/>
        <w:t>See COLL 15.10.3 R(2).</w:t>
      </w:r>
    </w:p>
  </w:endnote>
  <w:endnote w:id="31">
    <w:p w:rsidR="00AC18E3" w:rsidP="00D4005A" w:rsidRDefault="00AC18E3" w14:paraId="5593A304" w14:textId="023F4467">
      <w:pPr>
        <w:pStyle w:val="EndnoteText"/>
        <w:spacing w:line="360" w:lineRule="auto"/>
      </w:pPr>
      <w:r>
        <w:rPr>
          <w:rStyle w:val="EndnoteReference"/>
        </w:rPr>
        <w:endnoteRef/>
      </w:r>
      <w:r>
        <w:t xml:space="preserve"> </w:t>
      </w:r>
      <w:r>
        <w:tab/>
        <w:t>See COLL 15.10.3 R(5).</w:t>
      </w:r>
    </w:p>
  </w:endnote>
  <w:endnote w:id="32">
    <w:p w:rsidR="00AC18E3" w:rsidP="00D4005A" w:rsidRDefault="00AC18E3" w14:paraId="7C424C6F" w14:textId="53872264">
      <w:pPr>
        <w:pStyle w:val="EndnoteText"/>
        <w:spacing w:line="360" w:lineRule="auto"/>
      </w:pPr>
      <w:r>
        <w:rPr>
          <w:rStyle w:val="EndnoteReference"/>
        </w:rPr>
        <w:endnoteRef/>
      </w:r>
      <w:r>
        <w:t xml:space="preserve"> </w:t>
      </w:r>
      <w:r>
        <w:tab/>
        <w:t>See COLL 15.10.3 R(7).</w:t>
      </w:r>
    </w:p>
  </w:endnote>
  <w:endnote w:id="33">
    <w:p w:rsidR="00EE038F" w:rsidP="00D4005A" w:rsidRDefault="00EE038F" w14:paraId="4498450B" w14:textId="45BFAC0A">
      <w:pPr>
        <w:pStyle w:val="EndnoteText"/>
        <w:spacing w:line="360" w:lineRule="auto"/>
      </w:pPr>
      <w:r>
        <w:rPr>
          <w:rStyle w:val="EndnoteReference"/>
        </w:rPr>
        <w:endnoteRef/>
      </w:r>
      <w:r>
        <w:t xml:space="preserve"> </w:t>
      </w:r>
      <w:r>
        <w:tab/>
        <w:t>See COLL 15.3.6 R(12)(1).</w:t>
      </w:r>
    </w:p>
  </w:endnote>
  <w:endnote w:id="34">
    <w:p w:rsidR="00AC18E3" w:rsidP="00D4005A" w:rsidRDefault="00AC18E3" w14:paraId="7E63C1B6" w14:textId="27ADD9BE">
      <w:pPr>
        <w:pStyle w:val="EndnoteText"/>
        <w:spacing w:line="360" w:lineRule="auto"/>
      </w:pPr>
      <w:r>
        <w:rPr>
          <w:rStyle w:val="EndnoteReference"/>
        </w:rPr>
        <w:endnoteRef/>
      </w:r>
      <w:r>
        <w:t xml:space="preserve"> </w:t>
      </w:r>
      <w:r>
        <w:tab/>
        <w:t>See COLL 15.10.3 R(4).</w:t>
      </w:r>
    </w:p>
  </w:endnote>
  <w:endnote w:id="35">
    <w:p w:rsidRPr="00DA5FCD" w:rsidR="00C21A42" w:rsidP="00D4005A" w:rsidRDefault="00C21A42" w14:paraId="256A4979"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used.</w:t>
      </w:r>
    </w:p>
  </w:endnote>
  <w:endnote w:id="36">
    <w:p w:rsidRPr="00DA5FCD" w:rsidR="00BA397A" w:rsidP="00D4005A" w:rsidRDefault="00BA397A" w14:paraId="4F917E84" w14:textId="386EB56D">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Please note that this will need amending to reflect what is actually permitted. In some circumstances, firms may wish to further restrict transfers. It is also possible to have different transfer provisions for different Sub-Funds – the clause would need to be amended to reflect this.</w:t>
      </w:r>
    </w:p>
  </w:endnote>
  <w:endnote w:id="37">
    <w:p w:rsidR="00BC7FF0" w:rsidP="00D4005A" w:rsidRDefault="00BC7FF0" w14:paraId="02E8131D" w14:textId="33477492">
      <w:pPr>
        <w:pStyle w:val="EndnoteText"/>
      </w:pPr>
      <w:r>
        <w:rPr>
          <w:rStyle w:val="EndnoteReference"/>
        </w:rPr>
        <w:endnoteRef/>
      </w:r>
      <w:r>
        <w:t xml:space="preserve"> </w:t>
      </w:r>
      <w:r>
        <w:tab/>
        <w:t>See COLL 15.8.7 R</w:t>
      </w:r>
      <w:r w:rsidR="00AC18E3">
        <w:t>.</w:t>
      </w:r>
    </w:p>
  </w:endnote>
  <w:endnote w:id="38">
    <w:p w:rsidRPr="00DA5FCD" w:rsidR="00BA397A" w:rsidP="00D4005A" w:rsidRDefault="00BA397A" w14:paraId="5C4CAE5F" w14:textId="2A57605C">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Firms may wish to provide for electronic transfers</w:t>
      </w:r>
    </w:p>
  </w:endnote>
  <w:endnote w:id="39">
    <w:p w:rsidRPr="00DA5FCD" w:rsidR="00BB26A1" w:rsidP="00D4005A" w:rsidRDefault="00BB26A1" w14:paraId="600819F2"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Insert person responsible as required under COLL 15.3.6 R 7.</w:t>
      </w:r>
    </w:p>
  </w:endnote>
  <w:endnote w:id="40">
    <w:p w:rsidRPr="00DA5FCD" w:rsidR="00BA397A" w:rsidP="00D4005A" w:rsidRDefault="00BA397A" w14:paraId="6A7A229A" w14:textId="0BAF3C25">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Whilst people may choose to operate the tax-transparent fund in such a way that equalisation is not required we would suggest including it for future flexibility.  If it is used it will need to be done precisely.</w:t>
      </w:r>
    </w:p>
  </w:endnote>
  <w:endnote w:id="41">
    <w:p w:rsidRPr="00DA5FCD" w:rsidR="00CE6BAB" w:rsidP="00D4005A" w:rsidRDefault="00CE6BAB" w14:paraId="02BD7C7A"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See COLL 15.3.6 R 3(3).</w:t>
      </w:r>
    </w:p>
  </w:endnote>
  <w:endnote w:id="42">
    <w:p w:rsidRPr="00DA5FCD" w:rsidR="00B8327D" w:rsidP="00D4005A" w:rsidRDefault="00B8327D" w14:paraId="2B27B72B" w14:textId="52E481D6">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r>
      <w:r w:rsidR="002D7303">
        <w:t xml:space="preserve">Wording may be included in this Clause to permit the Manager </w:t>
      </w:r>
      <w:r w:rsidR="002D7303">
        <w:rPr>
          <w:lang w:eastAsia="en-GB"/>
        </w:rPr>
        <w:t>to issue by way of a bonus and effect compulsory redemptions of Units as necessary in connection with the calculation or payment of performance fees and to otherwise give effect to any performance fee arrangements.</w:t>
      </w:r>
    </w:p>
  </w:endnote>
  <w:endnote w:id="43">
    <w:p w:rsidRPr="00DA5FCD" w:rsidR="003E5622" w:rsidP="00D4005A" w:rsidRDefault="003E5622" w14:paraId="0FA882BC"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See COLL 4.4.</w:t>
      </w:r>
    </w:p>
  </w:endnote>
  <w:endnote w:id="44">
    <w:p w:rsidRPr="00DA5FCD" w:rsidR="00695E22" w:rsidP="00D4005A" w:rsidRDefault="00695E22" w14:paraId="4DA8BF4F"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Assumes that annual general meetings will not be held.</w:t>
      </w:r>
    </w:p>
  </w:endnote>
  <w:endnote w:id="45">
    <w:p w:rsidRPr="00DA5FCD" w:rsidR="00BA397A" w:rsidP="00D4005A" w:rsidRDefault="00BA397A" w14:paraId="5C34FE67" w14:textId="4FF19EF1">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This wording could be in the Prospectus only.</w:t>
      </w:r>
    </w:p>
  </w:endnote>
  <w:endnote w:id="46">
    <w:p w:rsidRPr="00DA5FCD" w:rsidR="00BA397A" w:rsidP="00D4005A" w:rsidRDefault="00BA397A" w14:paraId="071246BB" w14:textId="73030FF1">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Firms could consider adding in gross up wording here or in the indemnity – it will need tailoring depending on circumstances</w:t>
      </w:r>
    </w:p>
  </w:endnote>
  <w:endnote w:id="47">
    <w:p w:rsidRPr="00DA5FCD" w:rsidR="00BA397A" w:rsidP="00D4005A" w:rsidRDefault="00BA397A" w14:paraId="03A711DF" w14:textId="079A07EF">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Again this section could be in the Prospectus only. It will need modifying for particular circumstances</w:t>
      </w:r>
    </w:p>
  </w:endnote>
  <w:endnote w:id="48">
    <w:p w:rsidRPr="00DA5FCD" w:rsidR="00605E8C" w:rsidP="00D4005A" w:rsidRDefault="00605E8C" w14:paraId="2C3E7307" w14:textId="77777777">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This may not be relevant, but the ability to do so must be included in the constitutional document if liability is to be so discharged.</w:t>
      </w:r>
    </w:p>
  </w:endnote>
  <w:endnote w:id="49">
    <w:p w:rsidRPr="00DA5FCD" w:rsidR="00BA397A" w:rsidP="00D4005A" w:rsidRDefault="00BA397A" w14:paraId="1CF48616" w14:textId="0B20902E">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It is not necessary under AIFMD to include this wording but some managers may choose to.</w:t>
      </w:r>
    </w:p>
  </w:endnote>
  <w:endnote w:id="50">
    <w:p w:rsidRPr="00DA5FCD" w:rsidR="00BB26A1" w:rsidP="00D4005A" w:rsidRDefault="00BB26A1" w14:paraId="6BB2EF18" w14:textId="59F590B2">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 xml:space="preserve">See COLL 4.3 - Any proposed alteration to the </w:t>
      </w:r>
      <w:r w:rsidR="00770882">
        <w:rPr>
          <w:rFonts w:asciiTheme="minorHAnsi" w:hAnsiTheme="minorHAnsi" w:cstheme="minorHAnsi"/>
        </w:rPr>
        <w:t>deed</w:t>
      </w:r>
      <w:r w:rsidRPr="00DA5FCD">
        <w:rPr>
          <w:rFonts w:asciiTheme="minorHAnsi" w:hAnsiTheme="minorHAnsi" w:cstheme="minorHAnsi"/>
        </w:rPr>
        <w:t xml:space="preserve"> must be notified to </w:t>
      </w:r>
      <w:r w:rsidRPr="00DA5FCD">
        <w:rPr>
          <w:rFonts w:asciiTheme="minorHAnsi" w:hAnsiTheme="minorHAnsi" w:cstheme="minorHAnsi"/>
          <w:spacing w:val="-2"/>
        </w:rPr>
        <w:t>FCA</w:t>
      </w:r>
      <w:r w:rsidRPr="00DA5FCD">
        <w:rPr>
          <w:rFonts w:asciiTheme="minorHAnsi" w:hAnsiTheme="minorHAnsi" w:cstheme="minorHAnsi"/>
        </w:rPr>
        <w:t xml:space="preserve"> under section 261Q FSMA.</w:t>
      </w:r>
    </w:p>
  </w:endnote>
  <w:endnote w:id="51">
    <w:p w:rsidRPr="00DA5FCD" w:rsidR="00B8327D" w:rsidP="00D4005A" w:rsidRDefault="00B8327D" w14:paraId="7688E04C" w14:textId="45E8829A">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 xml:space="preserve">Clause </w:t>
      </w:r>
      <w:r w:rsidRPr="00DA5FCD">
        <w:rPr>
          <w:rFonts w:asciiTheme="minorHAnsi" w:hAnsiTheme="minorHAnsi" w:cstheme="minorHAnsi"/>
        </w:rPr>
        <w:fldChar w:fldCharType="begin"/>
      </w:r>
      <w:r w:rsidRPr="00DA5FCD">
        <w:rPr>
          <w:rFonts w:asciiTheme="minorHAnsi" w:hAnsiTheme="minorHAnsi" w:cstheme="minorHAnsi"/>
        </w:rPr>
        <w:instrText xml:space="preserve"> REF _Ref118275889 \r \h </w:instrText>
      </w:r>
      <w:r w:rsidRPr="00DA5FCD" w:rsidR="00DA5FCD">
        <w:rPr>
          <w:rFonts w:asciiTheme="minorHAnsi" w:hAnsiTheme="minorHAnsi" w:cstheme="minorHAnsi"/>
        </w:rPr>
        <w:instrText xml:space="preserve"> \* MERGEFORMAT </w:instrText>
      </w:r>
      <w:r w:rsidRPr="00DA5FCD">
        <w:rPr>
          <w:rFonts w:asciiTheme="minorHAnsi" w:hAnsiTheme="minorHAnsi" w:cstheme="minorHAnsi"/>
        </w:rPr>
      </w:r>
      <w:r w:rsidRPr="00DA5FCD">
        <w:rPr>
          <w:rFonts w:asciiTheme="minorHAnsi" w:hAnsiTheme="minorHAnsi" w:cstheme="minorHAnsi"/>
        </w:rPr>
        <w:fldChar w:fldCharType="separate"/>
      </w:r>
      <w:r w:rsidRPr="00DA5FCD">
        <w:rPr>
          <w:rFonts w:asciiTheme="minorHAnsi" w:hAnsiTheme="minorHAnsi" w:cstheme="minorHAnsi"/>
          <w:cs/>
        </w:rPr>
        <w:t>‎</w:t>
      </w:r>
      <w:r w:rsidRPr="00DA5FCD">
        <w:rPr>
          <w:rFonts w:asciiTheme="minorHAnsi" w:hAnsiTheme="minorHAnsi" w:cstheme="minorHAnsi"/>
        </w:rPr>
        <w:t>2</w:t>
      </w:r>
      <w:r w:rsidRPr="00DA5FCD">
        <w:rPr>
          <w:rFonts w:asciiTheme="minorHAnsi" w:hAnsiTheme="minorHAnsi" w:cstheme="minorHAnsi"/>
        </w:rPr>
        <w:fldChar w:fldCharType="end"/>
      </w:r>
      <w:r w:rsidRPr="00DA5FCD">
        <w:rPr>
          <w:rFonts w:asciiTheme="minorHAnsi" w:hAnsiTheme="minorHAnsi" w:cstheme="minorHAnsi"/>
        </w:rPr>
        <w:t xml:space="preserve"> will confirm if the scheme is to be wound up after a particular period expires – COLL 15.3.6R 3(2)</w:t>
      </w:r>
      <w:r w:rsidRPr="00DA5FCD">
        <w:rPr>
          <w:rFonts w:asciiTheme="minorHAnsi" w:hAnsiTheme="minorHAnsi" w:cstheme="minorHAnsi"/>
          <w:spacing w:val="-2"/>
        </w:rPr>
        <w:t xml:space="preserve">. Amend as necessary </w:t>
      </w:r>
      <w:r w:rsidRPr="00DA5FCD">
        <w:rPr>
          <w:rFonts w:asciiTheme="minorHAnsi" w:hAnsiTheme="minorHAnsi" w:cstheme="minorHAnsi"/>
        </w:rPr>
        <w:t>if not an umbrella</w:t>
      </w:r>
      <w:r w:rsidRPr="00DA5FCD">
        <w:rPr>
          <w:rFonts w:asciiTheme="minorHAnsi" w:hAnsiTheme="minorHAnsi" w:cstheme="minorHAnsi"/>
          <w:spacing w:val="-2"/>
        </w:rPr>
        <w:t>.</w:t>
      </w:r>
    </w:p>
  </w:endnote>
  <w:endnote w:id="52">
    <w:p w:rsidRPr="00DA5FCD" w:rsidR="00B8327D" w:rsidP="00D4005A" w:rsidRDefault="00B8327D" w14:paraId="7EB9A8A6" w14:textId="32ADD4B3">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 xml:space="preserve">Consider including after this sub-clause the following statement that is not obligatory to include in the </w:t>
      </w:r>
      <w:r w:rsidR="00770882">
        <w:rPr>
          <w:rFonts w:asciiTheme="minorHAnsi" w:hAnsiTheme="minorHAnsi" w:cstheme="minorHAnsi"/>
        </w:rPr>
        <w:t>deed</w:t>
      </w:r>
      <w:r w:rsidRPr="00DA5FCD">
        <w:rPr>
          <w:rFonts w:asciiTheme="minorHAnsi" w:hAnsiTheme="minorHAnsi" w:cstheme="minorHAnsi"/>
        </w:rPr>
        <w:t>, but which some managers elect to include: “</w:t>
      </w:r>
      <w:r w:rsidRPr="00DA5FCD">
        <w:rPr>
          <w:rFonts w:asciiTheme="minorHAnsi" w:hAnsiTheme="minorHAnsi" w:cstheme="minorHAnsi"/>
          <w:i/>
          <w:iCs/>
        </w:rPr>
        <w:t xml:space="preserve">In accordance with the Regulations, the Manager shall make available to potential investors in the </w:t>
      </w:r>
      <w:r w:rsidR="00237770">
        <w:rPr>
          <w:rFonts w:asciiTheme="minorHAnsi" w:hAnsiTheme="minorHAnsi" w:cstheme="minorHAnsi"/>
          <w:i/>
          <w:iCs/>
        </w:rPr>
        <w:t>Scheme</w:t>
      </w:r>
      <w:r w:rsidRPr="00DA5FCD">
        <w:rPr>
          <w:rFonts w:asciiTheme="minorHAnsi" w:hAnsiTheme="minorHAnsi" w:cstheme="minorHAnsi"/>
          <w:i/>
          <w:iCs/>
        </w:rPr>
        <w:t xml:space="preserve"> the required information set out in FUND 3.2.2 R before they invest in the </w:t>
      </w:r>
      <w:r w:rsidR="00237770">
        <w:rPr>
          <w:rFonts w:asciiTheme="minorHAnsi" w:hAnsiTheme="minorHAnsi" w:cstheme="minorHAnsi"/>
          <w:i/>
          <w:iCs/>
        </w:rPr>
        <w:t>Scheme</w:t>
      </w:r>
      <w:r w:rsidRPr="00DA5FCD">
        <w:rPr>
          <w:rFonts w:asciiTheme="minorHAnsi" w:hAnsiTheme="minorHAnsi" w:cstheme="minorHAnsi"/>
          <w:i/>
          <w:iCs/>
        </w:rPr>
        <w:t xml:space="preserve">, shall make available to potential investors and </w:t>
      </w:r>
      <w:r w:rsidR="00237770">
        <w:rPr>
          <w:rFonts w:asciiTheme="minorHAnsi" w:hAnsiTheme="minorHAnsi" w:cstheme="minorHAnsi"/>
          <w:i/>
          <w:iCs/>
        </w:rPr>
        <w:t>Unit</w:t>
      </w:r>
      <w:r w:rsidRPr="00DA5FCD">
        <w:rPr>
          <w:rFonts w:asciiTheme="minorHAnsi" w:hAnsiTheme="minorHAnsi" w:cstheme="minorHAnsi"/>
          <w:i/>
          <w:iCs/>
        </w:rPr>
        <w:t xml:space="preserve">holders any material change thereof, and shall make the required periodic discloses to </w:t>
      </w:r>
      <w:r w:rsidR="00237770">
        <w:rPr>
          <w:rFonts w:asciiTheme="minorHAnsi" w:hAnsiTheme="minorHAnsi" w:cstheme="minorHAnsi"/>
          <w:i/>
          <w:iCs/>
        </w:rPr>
        <w:t>Unit</w:t>
      </w:r>
      <w:r w:rsidRPr="00DA5FCD">
        <w:rPr>
          <w:rFonts w:asciiTheme="minorHAnsi" w:hAnsiTheme="minorHAnsi" w:cstheme="minorHAnsi"/>
          <w:i/>
          <w:iCs/>
        </w:rPr>
        <w:t>holders.</w:t>
      </w:r>
      <w:r w:rsidRPr="00DA5FCD">
        <w:rPr>
          <w:rFonts w:asciiTheme="minorHAnsi" w:hAnsiTheme="minorHAnsi" w:cstheme="minorHAnsi"/>
        </w:rPr>
        <w:t>”</w:t>
      </w:r>
    </w:p>
  </w:endnote>
  <w:endnote w:id="53">
    <w:p w:rsidRPr="00DA5FCD" w:rsidR="00605E8C" w:rsidP="00D4005A" w:rsidRDefault="00605E8C" w14:paraId="2A8D00E3" w14:textId="564457D0">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 xml:space="preserve">Consider deleting if not an umbrella and including the investment objective and related language (including, as relevant, that language in paragraphs 2 and 3 regarding PAIFs and use of intermediate holding vehicles) in place of the current Clauses </w:t>
      </w:r>
      <w:r w:rsidRPr="00DA5FCD">
        <w:rPr>
          <w:rFonts w:asciiTheme="minorHAnsi" w:hAnsiTheme="minorHAnsi" w:cstheme="minorHAnsi"/>
        </w:rPr>
        <w:fldChar w:fldCharType="begin"/>
      </w:r>
      <w:r w:rsidRPr="00DA5FCD">
        <w:rPr>
          <w:rFonts w:asciiTheme="minorHAnsi" w:hAnsiTheme="minorHAnsi" w:cstheme="minorHAnsi"/>
        </w:rPr>
        <w:instrText xml:space="preserve"> REF _Ref118276121 \r \h </w:instrText>
      </w:r>
      <w:r w:rsidRPr="00DA5FCD" w:rsidR="00DA5FCD">
        <w:rPr>
          <w:rFonts w:asciiTheme="minorHAnsi" w:hAnsiTheme="minorHAnsi" w:cstheme="minorHAnsi"/>
        </w:rPr>
        <w:instrText xml:space="preserve"> \* MERGEFORMAT </w:instrText>
      </w:r>
      <w:r w:rsidRPr="00DA5FCD">
        <w:rPr>
          <w:rFonts w:asciiTheme="minorHAnsi" w:hAnsiTheme="minorHAnsi" w:cstheme="minorHAnsi"/>
        </w:rPr>
      </w:r>
      <w:r w:rsidRPr="00DA5FCD">
        <w:rPr>
          <w:rFonts w:asciiTheme="minorHAnsi" w:hAnsiTheme="minorHAnsi" w:cstheme="minorHAnsi"/>
        </w:rPr>
        <w:fldChar w:fldCharType="separate"/>
      </w:r>
      <w:r w:rsidRPr="00DA5FCD">
        <w:rPr>
          <w:rFonts w:asciiTheme="minorHAnsi" w:hAnsiTheme="minorHAnsi" w:cstheme="minorHAnsi"/>
          <w:cs/>
        </w:rPr>
        <w:t>‎</w:t>
      </w:r>
      <w:r w:rsidRPr="00DA5FCD">
        <w:rPr>
          <w:rFonts w:asciiTheme="minorHAnsi" w:hAnsiTheme="minorHAnsi" w:cstheme="minorHAnsi"/>
        </w:rPr>
        <w:t>5.6</w:t>
      </w:r>
      <w:r w:rsidRPr="00DA5FCD">
        <w:rPr>
          <w:rFonts w:asciiTheme="minorHAnsi" w:hAnsiTheme="minorHAnsi" w:cstheme="minorHAnsi"/>
        </w:rPr>
        <w:fldChar w:fldCharType="end"/>
      </w:r>
      <w:r w:rsidRPr="00DA5FCD">
        <w:rPr>
          <w:rFonts w:asciiTheme="minorHAnsi" w:hAnsiTheme="minorHAnsi" w:cstheme="minorHAnsi"/>
        </w:rPr>
        <w:t xml:space="preserve"> - </w:t>
      </w:r>
      <w:r w:rsidRPr="00DA5FCD">
        <w:rPr>
          <w:rFonts w:asciiTheme="minorHAnsi" w:hAnsiTheme="minorHAnsi" w:cstheme="minorHAnsi"/>
        </w:rPr>
        <w:fldChar w:fldCharType="begin"/>
      </w:r>
      <w:r w:rsidRPr="00DA5FCD">
        <w:rPr>
          <w:rFonts w:asciiTheme="minorHAnsi" w:hAnsiTheme="minorHAnsi" w:cstheme="minorHAnsi"/>
        </w:rPr>
        <w:instrText xml:space="preserve"> REF _Ref118276127 \r \h </w:instrText>
      </w:r>
      <w:r w:rsidRPr="00DA5FCD" w:rsidR="00DA5FCD">
        <w:rPr>
          <w:rFonts w:asciiTheme="minorHAnsi" w:hAnsiTheme="minorHAnsi" w:cstheme="minorHAnsi"/>
        </w:rPr>
        <w:instrText xml:space="preserve"> \* MERGEFORMAT </w:instrText>
      </w:r>
      <w:r w:rsidRPr="00DA5FCD">
        <w:rPr>
          <w:rFonts w:asciiTheme="minorHAnsi" w:hAnsiTheme="minorHAnsi" w:cstheme="minorHAnsi"/>
        </w:rPr>
      </w:r>
      <w:r w:rsidRPr="00DA5FCD">
        <w:rPr>
          <w:rFonts w:asciiTheme="minorHAnsi" w:hAnsiTheme="minorHAnsi" w:cstheme="minorHAnsi"/>
        </w:rPr>
        <w:fldChar w:fldCharType="separate"/>
      </w:r>
      <w:r w:rsidRPr="00DA5FCD">
        <w:rPr>
          <w:rFonts w:asciiTheme="minorHAnsi" w:hAnsiTheme="minorHAnsi" w:cstheme="minorHAnsi"/>
          <w:cs/>
        </w:rPr>
        <w:t>‎</w:t>
      </w:r>
      <w:r w:rsidRPr="00DA5FCD">
        <w:rPr>
          <w:rFonts w:asciiTheme="minorHAnsi" w:hAnsiTheme="minorHAnsi" w:cstheme="minorHAnsi"/>
        </w:rPr>
        <w:t>5.9</w:t>
      </w:r>
      <w:r w:rsidRPr="00DA5FCD">
        <w:rPr>
          <w:rFonts w:asciiTheme="minorHAnsi" w:hAnsiTheme="minorHAnsi" w:cstheme="minorHAnsi"/>
        </w:rPr>
        <w:fldChar w:fldCharType="end"/>
      </w:r>
      <w:r w:rsidRPr="00DA5FCD">
        <w:rPr>
          <w:rFonts w:asciiTheme="minorHAnsi" w:hAnsiTheme="minorHAnsi" w:cstheme="minorHAnsi"/>
        </w:rPr>
        <w:t>.</w:t>
      </w:r>
    </w:p>
  </w:endnote>
  <w:endnote w:id="54">
    <w:p w:rsidR="00B94284" w:rsidP="00D4005A" w:rsidRDefault="00B94284" w14:paraId="2084D307" w14:textId="52EA7FE5">
      <w:pPr>
        <w:pStyle w:val="EndnoteText"/>
        <w:ind w:left="720" w:hanging="720"/>
      </w:pPr>
      <w:r>
        <w:rPr>
          <w:rStyle w:val="EndnoteReference"/>
        </w:rPr>
        <w:endnoteRef/>
      </w:r>
      <w:r>
        <w:t xml:space="preserve"> </w:t>
      </w:r>
      <w:r>
        <w:tab/>
        <w:t>COLL 15.3.6R(5) refers to a “</w:t>
      </w:r>
      <w:r w:rsidRPr="00B94284">
        <w:rPr>
          <w:i/>
          <w:iCs/>
        </w:rPr>
        <w:t>statement…setting out the dealing frequency for sales and redemptions  of units in the scheme, and the applicable notice periods for redemptions</w:t>
      </w:r>
      <w:r>
        <w:t>.”</w:t>
      </w:r>
    </w:p>
  </w:endnote>
  <w:endnote w:id="55">
    <w:p w:rsidRPr="00DA5FCD" w:rsidR="00B202DF" w:rsidP="00D4005A" w:rsidRDefault="00B202DF" w14:paraId="234FDABD"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COLL 15.3.6R 13 and see the definition of intermediate holding vehicle.</w:t>
      </w:r>
    </w:p>
  </w:endnote>
  <w:endnote w:id="56">
    <w:p w:rsidRPr="00DA5FCD" w:rsidR="00695E22" w:rsidP="00D4005A" w:rsidRDefault="00695E22" w14:paraId="061924EE"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See COLL 15.3.6 R 10.</w:t>
      </w:r>
    </w:p>
  </w:endnote>
  <w:endnote w:id="57">
    <w:p w:rsidRPr="00DA5FCD" w:rsidR="00605E8C" w:rsidP="00D4005A" w:rsidRDefault="00605E8C" w14:paraId="22789DDD" w14:textId="16E9976A">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 xml:space="preserve">Amend </w:t>
      </w:r>
      <w:r w:rsidRPr="00DA5FCD">
        <w:rPr>
          <w:rFonts w:asciiTheme="minorHAnsi" w:hAnsiTheme="minorHAnsi" w:cstheme="minorHAnsi"/>
        </w:rPr>
        <w:fldChar w:fldCharType="begin"/>
      </w:r>
      <w:r w:rsidRPr="00DA5FCD">
        <w:rPr>
          <w:rFonts w:asciiTheme="minorHAnsi" w:hAnsiTheme="minorHAnsi" w:cstheme="minorHAnsi"/>
        </w:rPr>
        <w:instrText xml:space="preserve"> REF _Ref118276370 \r \h </w:instrText>
      </w:r>
      <w:r w:rsidRPr="00DA5FCD" w:rsidR="00DA5FCD">
        <w:rPr>
          <w:rFonts w:asciiTheme="minorHAnsi" w:hAnsiTheme="minorHAnsi" w:cstheme="minorHAnsi"/>
        </w:rPr>
        <w:instrText xml:space="preserve"> \* MERGEFORMAT </w:instrText>
      </w:r>
      <w:r w:rsidRPr="00DA5FCD">
        <w:rPr>
          <w:rFonts w:asciiTheme="minorHAnsi" w:hAnsiTheme="minorHAnsi" w:cstheme="minorHAnsi"/>
        </w:rPr>
      </w:r>
      <w:r w:rsidRPr="00DA5FCD">
        <w:rPr>
          <w:rFonts w:asciiTheme="minorHAnsi" w:hAnsiTheme="minorHAnsi" w:cstheme="minorHAnsi"/>
        </w:rPr>
        <w:fldChar w:fldCharType="separate"/>
      </w:r>
      <w:r w:rsidRPr="00DA5FCD">
        <w:rPr>
          <w:rFonts w:asciiTheme="minorHAnsi" w:hAnsiTheme="minorHAnsi" w:cstheme="minorHAnsi"/>
          <w:cs/>
        </w:rPr>
        <w:t>‎</w:t>
      </w:r>
      <w:r w:rsidRPr="00DA5FCD">
        <w:rPr>
          <w:rFonts w:asciiTheme="minorHAnsi" w:hAnsiTheme="minorHAnsi" w:cstheme="minorHAnsi"/>
        </w:rPr>
        <w:t>Part 4</w:t>
      </w:r>
      <w:r w:rsidRPr="00DA5FCD">
        <w:rPr>
          <w:rFonts w:asciiTheme="minorHAnsi" w:hAnsiTheme="minorHAnsi" w:cstheme="minorHAnsi"/>
        </w:rPr>
        <w:fldChar w:fldCharType="end"/>
      </w:r>
      <w:r w:rsidRPr="00DA5FCD">
        <w:rPr>
          <w:rFonts w:asciiTheme="minorHAnsi" w:hAnsiTheme="minorHAnsi" w:cstheme="minorHAnsi"/>
        </w:rPr>
        <w:t xml:space="preserve"> throughout if not an umbrella.</w:t>
      </w:r>
    </w:p>
  </w:endnote>
  <w:endnote w:id="58">
    <w:p w:rsidRPr="00DA5FCD" w:rsidR="00605E8C" w:rsidP="00D4005A" w:rsidRDefault="00605E8C" w14:paraId="55227089"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used.</w:t>
      </w:r>
    </w:p>
  </w:endnote>
  <w:endnote w:id="59">
    <w:p w:rsidRPr="00DA5FCD" w:rsidR="001E0B2F" w:rsidP="00D4005A" w:rsidRDefault="001E0B2F" w14:paraId="7BDE367E"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the heading. Delete the below provisions if a dual priced scheme.</w:t>
      </w:r>
    </w:p>
  </w:endnote>
  <w:endnote w:id="60">
    <w:p w:rsidRPr="00DA5FCD" w:rsidR="001E0B2F" w:rsidP="00D4005A" w:rsidRDefault="001E0B2F" w14:paraId="16DD751D" w14:textId="2DAA0D17">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r>
      <w:r w:rsidRPr="00DA5FCD" w:rsidR="00605E8C">
        <w:rPr>
          <w:rFonts w:asciiTheme="minorHAnsi" w:hAnsiTheme="minorHAnsi" w:cstheme="minorHAnsi"/>
        </w:rPr>
        <w:fldChar w:fldCharType="begin"/>
      </w:r>
      <w:r w:rsidRPr="00DA5FCD" w:rsidR="00605E8C">
        <w:rPr>
          <w:rFonts w:asciiTheme="minorHAnsi" w:hAnsiTheme="minorHAnsi" w:cstheme="minorHAnsi"/>
        </w:rPr>
        <w:instrText xml:space="preserve"> REF _Ref118276274 \r \h </w:instrText>
      </w:r>
      <w:r w:rsidRPr="00DA5FCD" w:rsidR="00DA5FCD">
        <w:rPr>
          <w:rFonts w:asciiTheme="minorHAnsi" w:hAnsiTheme="minorHAnsi" w:cstheme="minorHAnsi"/>
        </w:rPr>
        <w:instrText xml:space="preserve"> \* MERGEFORMAT </w:instrText>
      </w:r>
      <w:r w:rsidRPr="00DA5FCD" w:rsidR="00605E8C">
        <w:rPr>
          <w:rFonts w:asciiTheme="minorHAnsi" w:hAnsiTheme="minorHAnsi" w:cstheme="minorHAnsi"/>
        </w:rPr>
      </w:r>
      <w:r w:rsidRPr="00DA5FCD" w:rsidR="00605E8C">
        <w:rPr>
          <w:rFonts w:asciiTheme="minorHAnsi" w:hAnsiTheme="minorHAnsi" w:cstheme="minorHAnsi"/>
        </w:rPr>
        <w:fldChar w:fldCharType="separate"/>
      </w:r>
      <w:r w:rsidRPr="00DA5FCD" w:rsidR="00605E8C">
        <w:rPr>
          <w:rFonts w:asciiTheme="minorHAnsi" w:hAnsiTheme="minorHAnsi" w:cstheme="minorHAnsi"/>
          <w:cs/>
        </w:rPr>
        <w:t>‎</w:t>
      </w:r>
      <w:r w:rsidRPr="00DA5FCD" w:rsidR="00605E8C">
        <w:rPr>
          <w:rFonts w:asciiTheme="minorHAnsi" w:hAnsiTheme="minorHAnsi" w:cstheme="minorHAnsi"/>
        </w:rPr>
        <w:t>Part 5</w:t>
      </w:r>
      <w:r w:rsidRPr="00DA5FCD" w:rsidR="00605E8C">
        <w:rPr>
          <w:rFonts w:asciiTheme="minorHAnsi" w:hAnsiTheme="minorHAnsi" w:cstheme="minorHAnsi"/>
        </w:rPr>
        <w:fldChar w:fldCharType="end"/>
      </w:r>
      <w:r w:rsidRPr="00DA5FCD">
        <w:rPr>
          <w:rFonts w:asciiTheme="minorHAnsi" w:hAnsiTheme="minorHAnsi" w:cstheme="minorHAnsi"/>
        </w:rPr>
        <w:t xml:space="preserve"> of the Schedule to be tailored to reflect the assets held by the Scheme / </w:t>
      </w:r>
      <w:r w:rsidR="000E133F">
        <w:rPr>
          <w:rFonts w:asciiTheme="minorHAnsi" w:hAnsiTheme="minorHAnsi" w:cstheme="minorHAnsi"/>
        </w:rPr>
        <w:t>Sub-</w:t>
      </w:r>
      <w:r w:rsidRPr="00DA5FCD">
        <w:rPr>
          <w:rFonts w:asciiTheme="minorHAnsi" w:hAnsiTheme="minorHAnsi" w:cstheme="minorHAnsi"/>
        </w:rPr>
        <w:t>Funds and the Valuation Policy of the Manager.</w:t>
      </w:r>
    </w:p>
  </w:endnote>
  <w:endnote w:id="61">
    <w:p w:rsidRPr="00DA5FCD" w:rsidR="001E0B2F" w:rsidP="00D4005A" w:rsidRDefault="001E0B2F" w14:paraId="48E29E65"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used.</w:t>
      </w:r>
    </w:p>
  </w:endnote>
  <w:endnote w:id="62">
    <w:p w:rsidRPr="00DA5FCD" w:rsidR="001E0B2F" w:rsidP="00D4005A" w:rsidRDefault="001E0B2F" w14:paraId="38E35FC2" w14:textId="77777777">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This wording could be included for LTAFs which invest in immovable property. See COLL 15.6.22 R(2)(b).</w:t>
      </w:r>
    </w:p>
  </w:endnote>
  <w:endnote w:id="63">
    <w:p w:rsidRPr="00DA5FCD" w:rsidR="001E0B2F" w:rsidP="00D4005A" w:rsidRDefault="001E0B2F" w14:paraId="05DD71DE" w14:textId="574FC8FF">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See COLL 15.6.14 R</w:t>
      </w:r>
      <w:r w:rsidR="00AC18E3">
        <w:rPr>
          <w:rFonts w:asciiTheme="minorHAnsi" w:hAnsiTheme="minorHAnsi" w:cstheme="minorHAnsi"/>
        </w:rPr>
        <w:t>.</w:t>
      </w:r>
    </w:p>
  </w:endnote>
  <w:endnote w:id="64">
    <w:p w:rsidRPr="00DA5FCD" w:rsidR="001E0B2F" w:rsidP="00D4005A" w:rsidRDefault="001E0B2F" w14:paraId="1B6603B4" w14:textId="675B3BD1">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not an umbrella.</w:t>
      </w:r>
    </w:p>
  </w:endnote>
  <w:endnote w:id="65">
    <w:p w:rsidRPr="00DA5FCD" w:rsidR="001E0B2F" w:rsidP="00D4005A" w:rsidRDefault="001E0B2F" w14:paraId="33A8D0C1"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the heading. Delete the below provisions if a single priced scheme.</w:t>
      </w:r>
    </w:p>
  </w:endnote>
  <w:endnote w:id="66">
    <w:p w:rsidRPr="00DA5FCD" w:rsidR="001E0B2F" w:rsidP="00D4005A" w:rsidRDefault="001E0B2F" w14:paraId="6E5D5713" w14:textId="4EDA312B">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w:t>
      </w:r>
    </w:p>
  </w:endnote>
  <w:endnote w:id="67">
    <w:p w:rsidRPr="00DA5FCD" w:rsidR="001E0B2F" w:rsidP="00D4005A" w:rsidRDefault="001E0B2F" w14:paraId="0DE26160" w14:textId="77777777">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This wording could be included for LTAFs which invest in immovable property. See COLL 15.6.22 R(2)(b).</w:t>
      </w:r>
    </w:p>
  </w:endnote>
  <w:endnote w:id="68">
    <w:p w:rsidRPr="00DA5FCD" w:rsidR="001E0B2F" w:rsidP="00D4005A" w:rsidRDefault="001E0B2F" w14:paraId="40BE61E3"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See COLL 15.6.14 R.</w:t>
      </w:r>
    </w:p>
  </w:endnote>
  <w:endnote w:id="69">
    <w:p w:rsidRPr="00DA5FCD" w:rsidR="001E0B2F" w:rsidP="00D4005A" w:rsidRDefault="001E0B2F" w14:paraId="62BE1C47" w14:textId="77777777">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This wording could be included for LTAFs which invest in immovable property. See COLL 15.6.22 R(2)(b).</w:t>
      </w:r>
    </w:p>
  </w:endnote>
  <w:endnote w:id="70">
    <w:p w:rsidRPr="00DA5FCD" w:rsidR="001E0B2F" w:rsidP="00D4005A" w:rsidRDefault="001E0B2F" w14:paraId="324FAF54"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See COLL 15.6.14 R.</w:t>
      </w:r>
    </w:p>
  </w:endnote>
  <w:endnote w:id="71">
    <w:p w:rsidRPr="00DA5FCD" w:rsidR="001E0B2F" w:rsidP="00D4005A" w:rsidRDefault="001E0B2F" w14:paraId="3605F3B2" w14:textId="77777777">
      <w:pPr>
        <w:pStyle w:val="EndnoteText"/>
        <w:spacing w:after="96" w:afterLines="40"/>
        <w:outlineLvl w:val="0"/>
      </w:pPr>
      <w:r w:rsidRPr="00DA5FCD">
        <w:rPr>
          <w:rStyle w:val="EndnoteReference"/>
          <w:rFonts w:asciiTheme="minorHAnsi" w:hAnsiTheme="minorHAnsi" w:cstheme="minorHAnsi"/>
          <w:szCs w:val="17"/>
        </w:rPr>
        <w:endnoteRef/>
      </w:r>
      <w:r w:rsidRPr="00DA5FCD">
        <w:rPr>
          <w:rFonts w:asciiTheme="minorHAnsi" w:hAnsiTheme="minorHAnsi" w:cstheme="minorHAnsi"/>
        </w:rPr>
        <w:tab/>
        <w:t>This wording may be included to match the methodology used for single priced schemes.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ingLiU">
    <w:altName w:val="細明體"/>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Real Text Light">
    <w:altName w:val="Calibri"/>
    <w:panose1 w:val="020B0504020101010102"/>
    <w:charset w:val="00"/>
    <w:family w:val="swiss"/>
    <w:notTrueType/>
    <w:pitch w:val="variable"/>
    <w:sig w:usb0="A00000FF" w:usb1="4000E47B" w:usb2="00000000" w:usb3="00000000" w:csb0="00000093" w:csb1="00000000"/>
  </w:font>
  <w:font w:name="Cairo">
    <w:panose1 w:val="00000500000000000000"/>
    <w:charset w:val="00"/>
    <w:family w:val="auto"/>
    <w:pitch w:val="variable"/>
    <w:sig w:usb0="00002007" w:usb1="00000001" w:usb2="00000008" w:usb3="00000000" w:csb0="000000D3" w:csb1="00000000"/>
  </w:font>
  <w:font w:name="Noto Sans CJK SC Light">
    <w:panose1 w:val="020B0300000000000000"/>
    <w:charset w:val="80"/>
    <w:family w:val="swiss"/>
    <w:notTrueType/>
    <w:pitch w:val="variable"/>
    <w:sig w:usb0="30000207" w:usb1="2BDF3C10" w:usb2="00000016" w:usb3="00000000" w:csb0="002E0107"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7238" w:rsidRDefault="009E7238" w14:paraId="301C6C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34FC" w:rsidP="00E534FC" w:rsidRDefault="00E534FC" w14:paraId="739BE764" w14:textId="77777777">
    <w:pPr>
      <w:pStyle w:val="Footer"/>
      <w:rPr>
        <w:rFonts w:eastAsia="MingLiU" w:cs="Times New Roman"/>
        <w:lang w:eastAsia="en-GB"/>
      </w:rPr>
    </w:pPr>
  </w:p>
  <w:p w:rsidR="00E534FC" w:rsidP="00E534FC" w:rsidRDefault="00E534FC" w14:paraId="3F08EDD3" w14:textId="77777777">
    <w:pPr>
      <w:pStyle w:val="Footer"/>
      <w:tabs>
        <w:tab w:val="right" w:pos="9543"/>
      </w:tabs>
    </w:pPr>
    <w:r>
      <w:t xml:space="preserve">   </w:t>
    </w:r>
    <w:r>
      <w:tab/>
    </w:r>
    <w:r>
      <w:rPr>
        <w:rStyle w:val="PageNumber"/>
        <w:rFonts w:cs="Times New Roman"/>
        <w:szCs w:val="12"/>
      </w:rPr>
      <w:fldChar w:fldCharType="begin"/>
    </w:r>
    <w:r>
      <w:rPr>
        <w:rStyle w:val="PageNumber"/>
        <w:rFonts w:cs="Times New Roman"/>
        <w:szCs w:val="12"/>
      </w:rPr>
      <w:instrText xml:space="preserve"> PAGE </w:instrText>
    </w:r>
    <w:r>
      <w:rPr>
        <w:rStyle w:val="PageNumber"/>
        <w:rFonts w:cs="Times New Roman"/>
        <w:szCs w:val="12"/>
      </w:rPr>
      <w:fldChar w:fldCharType="separate"/>
    </w:r>
    <w:r>
      <w:rPr>
        <w:rStyle w:val="PageNumber"/>
        <w:rFonts w:cs="Times New Roman"/>
        <w:szCs w:val="12"/>
      </w:rPr>
      <w:t>i</w:t>
    </w:r>
    <w:r>
      <w:rPr>
        <w:rStyle w:val="PageNumber"/>
        <w:rFonts w:cs="Times New Roman"/>
        <w:szCs w:val="12"/>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34FC" w:rsidP="00F00AAD" w:rsidRDefault="00E534FC" w14:paraId="7F61D644" w14:textId="177C9C2A">
    <w:pPr>
      <w:pStyle w:val="Footer"/>
      <w:spacing w:line="240" w:lineRule="auto"/>
      <w:rPr>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5C41" w:rsidP="0061692D" w:rsidRDefault="00135C41" w14:paraId="4E319917" w14:textId="77777777">
    <w:pPr>
      <w:pStyle w:val="Footer"/>
      <w:rPr>
        <w:rFonts w:eastAsia="MingLiU" w:cs="Times New Roman"/>
        <w:lang w:eastAsia="en-GB"/>
      </w:rPr>
    </w:pPr>
  </w:p>
  <w:tbl>
    <w:tblPr>
      <w:tblStyle w:val="TableGrid"/>
      <w:tblW w:w="0" w:type="auto"/>
      <w:tblLayout w:type="fixed"/>
      <w:tblCellMar>
        <w:left w:w="0" w:type="dxa"/>
        <w:right w:w="0" w:type="dxa"/>
      </w:tblCellMar>
      <w:tblLook w:val="04A0" w:firstRow="1" w:lastRow="0" w:firstColumn="1" w:lastColumn="0" w:noHBand="0" w:noVBand="1"/>
    </w:tblPr>
    <w:tblGrid>
      <w:gridCol w:w="3174"/>
      <w:gridCol w:w="3175"/>
      <w:gridCol w:w="3175"/>
    </w:tblGrid>
    <w:tr w:rsidR="00135C41" w:rsidTr="009A03E6" w14:paraId="5BD69BC5" w14:textId="77777777">
      <w:tc>
        <w:tcPr>
          <w:tcW w:w="3174" w:type="dxa"/>
        </w:tcPr>
        <w:p w:rsidR="00135C41" w:rsidP="009A03E6" w:rsidRDefault="00E00B4F" w14:paraId="5FCAF6B3" w14:textId="381EC2C0">
          <w:pPr>
            <w:pStyle w:val="Footer"/>
            <w:tabs>
              <w:tab w:val="clear" w:pos="4763"/>
              <w:tab w:val="clear" w:pos="9497"/>
              <w:tab w:val="left" w:pos="2385"/>
            </w:tabs>
            <w:rPr>
              <w:rFonts w:eastAsia="MingLiU" w:cs="Times New Roman"/>
              <w:lang w:eastAsia="en-GB"/>
            </w:rPr>
          </w:pPr>
          <w:r>
            <w:rPr>
              <w:sz w:val="14"/>
              <w:szCs w:val="21"/>
            </w:rPr>
            <w:t>FMFUN/DOBUPERSONALOPEN/DOBU</w:t>
          </w:r>
        </w:p>
      </w:tc>
      <w:tc>
        <w:tcPr>
          <w:tcW w:w="3175" w:type="dxa"/>
        </w:tcPr>
        <w:p w:rsidR="00135C41" w:rsidP="0061692D" w:rsidRDefault="00135C41" w14:paraId="086707B9" w14:textId="77777777">
          <w:pPr>
            <w:pStyle w:val="Footer"/>
            <w:jc w:val="center"/>
            <w:rPr>
              <w:rFonts w:eastAsia="MingLiU" w:cs="Times New Roman"/>
              <w:lang w:eastAsia="en-GB"/>
            </w:rP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i</w:t>
          </w:r>
          <w:r>
            <w:rPr>
              <w:rStyle w:val="PageNumber"/>
              <w:rFonts w:cs="Times New Roman"/>
            </w:rPr>
            <w:fldChar w:fldCharType="end"/>
          </w:r>
        </w:p>
      </w:tc>
      <w:tc>
        <w:tcPr>
          <w:tcW w:w="3175" w:type="dxa"/>
        </w:tcPr>
        <w:p w:rsidR="00135C41" w:rsidP="0061692D" w:rsidRDefault="00E00B4F" w14:paraId="739FFDC0" w14:textId="06956841">
          <w:pPr>
            <w:pStyle w:val="Footer"/>
            <w:jc w:val="right"/>
            <w:rPr>
              <w:rFonts w:eastAsia="MingLiU" w:cs="Times New Roman"/>
              <w:lang w:eastAsia="en-GB"/>
            </w:rPr>
          </w:pPr>
          <w:r>
            <w:rPr>
              <w:sz w:val="14"/>
              <w:szCs w:val="21"/>
            </w:rPr>
            <w:t>L_LIVE_EMEA1:102269214v8</w:t>
          </w:r>
        </w:p>
      </w:tc>
    </w:tr>
  </w:tbl>
  <w:p w:rsidRPr="00EE5B09" w:rsidR="00135C41" w:rsidRDefault="00135C41" w14:paraId="5322B97E" w14:textId="77777777">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3FD" w:rsidP="00EF6938" w:rsidRDefault="00DF43FD" w14:paraId="1F1F7C5A" w14:textId="77777777">
    <w:pPr>
      <w:pStyle w:val="Footer"/>
      <w:rPr>
        <w:rFonts w:eastAsia="MingLiU" w:cs="Times New Roman"/>
        <w:lang w:eastAsia="en-GB"/>
      </w:rPr>
    </w:pPr>
  </w:p>
  <w:tbl>
    <w:tblPr>
      <w:tblStyle w:val="TableGrid"/>
      <w:tblW w:w="5000" w:type="pct"/>
      <w:tblCellMar>
        <w:left w:w="0" w:type="dxa"/>
        <w:right w:w="0" w:type="dxa"/>
      </w:tblCellMar>
      <w:tblLook w:val="04A0" w:firstRow="1" w:lastRow="0" w:firstColumn="1" w:lastColumn="0" w:noHBand="0" w:noVBand="1"/>
    </w:tblPr>
    <w:tblGrid>
      <w:gridCol w:w="3401"/>
      <w:gridCol w:w="3402"/>
      <w:gridCol w:w="3402"/>
    </w:tblGrid>
    <w:tr w:rsidR="00611570" w:rsidTr="00A54CA9" w14:paraId="1F3DF777" w14:textId="77777777">
      <w:tc>
        <w:tcPr>
          <w:tcW w:w="1666" w:type="pct"/>
        </w:tcPr>
        <w:p w:rsidRPr="006C062E" w:rsidR="00611570" w:rsidP="00EF6938" w:rsidRDefault="00E00B4F" w14:paraId="15F241B8" w14:textId="0B66159C">
          <w:pPr>
            <w:pStyle w:val="Footer"/>
            <w:rPr>
              <w:rFonts w:eastAsia="MingLiU" w:cs="Times New Roman"/>
              <w:sz w:val="14"/>
              <w:szCs w:val="14"/>
              <w:lang w:eastAsia="en-GB"/>
            </w:rPr>
          </w:pPr>
          <w:r>
            <w:rPr>
              <w:sz w:val="14"/>
              <w:szCs w:val="14"/>
            </w:rPr>
            <w:t>FMFUN/DOBUPERSONALOPEN/DOBU</w:t>
          </w:r>
        </w:p>
      </w:tc>
      <w:tc>
        <w:tcPr>
          <w:tcW w:w="1667" w:type="pct"/>
        </w:tcPr>
        <w:p w:rsidR="00611570" w:rsidP="00611570" w:rsidRDefault="00611570" w14:paraId="09CFEC17" w14:textId="77777777">
          <w:pPr>
            <w:pStyle w:val="Footer"/>
            <w:jc w:val="center"/>
            <w:rPr>
              <w:rFonts w:eastAsia="MingLiU" w:cs="Times New Roman"/>
              <w:lang w:eastAsia="en-GB"/>
            </w:rP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rsidR="00611570" w:rsidP="00611570" w:rsidRDefault="00E00B4F" w14:paraId="08A0E355" w14:textId="39AD23BF">
          <w:pPr>
            <w:pStyle w:val="Footer"/>
            <w:jc w:val="right"/>
            <w:rPr>
              <w:rFonts w:eastAsia="MingLiU" w:cs="Times New Roman"/>
              <w:lang w:eastAsia="en-GB"/>
            </w:rPr>
          </w:pPr>
          <w:r>
            <w:rPr>
              <w:sz w:val="14"/>
              <w:szCs w:val="22"/>
            </w:rPr>
            <w:t>L_LIVE_EMEA1:102269214v8</w:t>
          </w:r>
        </w:p>
      </w:tc>
    </w:tr>
  </w:tbl>
  <w:p w:rsidRPr="00611570" w:rsidR="00611570" w:rsidP="00611570" w:rsidRDefault="00611570" w14:paraId="274B63ED" w14:textId="77777777">
    <w:pPr>
      <w:pStyle w:val="Footer"/>
      <w:spacing w:line="240" w:lineRule="auto"/>
      <w:rPr>
        <w:rFonts w:eastAsia="MingLiU" w:cs="Times New Roman"/>
        <w:sz w:val="2"/>
        <w:szCs w:val="4"/>
        <w:lang w:eastAsia="en-GB"/>
      </w:rPr>
    </w:pPr>
  </w:p>
  <w:p w:rsidR="00DF0C97" w:rsidRDefault="00DF0C97" w14:paraId="26166ED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7658" w:rsidP="002145F3" w:rsidRDefault="007F7658" w14:paraId="57D89AE7" w14:textId="77777777">
      <w:r>
        <w:separator/>
      </w:r>
    </w:p>
    <w:p w:rsidR="007F7658" w:rsidRDefault="007F7658" w14:paraId="2BBB700D" w14:textId="77777777"/>
  </w:footnote>
  <w:footnote w:type="continuationSeparator" w:id="0">
    <w:p w:rsidR="007F7658" w:rsidP="002145F3" w:rsidRDefault="007F7658" w14:paraId="69E78F02" w14:textId="77777777">
      <w:r>
        <w:continuationSeparator/>
      </w:r>
    </w:p>
    <w:p w:rsidR="007F7658" w:rsidRDefault="007F7658" w14:paraId="73662D6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7238" w:rsidRDefault="009E7238" w14:paraId="24AF2C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7238" w:rsidRDefault="009E7238" w14:paraId="4C6FDB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6306" w:rsidR="00330FD2" w:rsidRDefault="00330FD2" w14:paraId="061BF0A1" w14:textId="5AE381B4">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AE33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45C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77C14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B60A7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FCDE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94B0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E4D2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A4C1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9A35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9C8E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A4510"/>
    <w:multiLevelType w:val="multilevel"/>
    <w:tmpl w:val="8C82F858"/>
    <w:name w:val="Parties"/>
    <w:lvl w:ilvl="0">
      <w:start w:val="1"/>
      <w:numFmt w:val="decimal"/>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645AB1"/>
    <w:multiLevelType w:val="multilevel"/>
    <w:tmpl w:val="A5F65242"/>
    <w:numStyleLink w:val="NumParties"/>
  </w:abstractNum>
  <w:abstractNum w:abstractNumId="12" w15:restartNumberingAfterBreak="0">
    <w:nsid w:val="08555256"/>
    <w:multiLevelType w:val="multilevel"/>
    <w:tmpl w:val="ECD8DD3E"/>
    <w:lvl w:ilvl="0">
      <w:start w:val="1"/>
      <w:numFmt w:val="decimal"/>
      <w:lvlRestart w:val="0"/>
      <w:pStyle w:val="ssq"/>
      <w:suff w:val="nothing"/>
      <w:lvlText w:val="مبرز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BAE4F59"/>
    <w:multiLevelType w:val="multilevel"/>
    <w:tmpl w:val="576C219E"/>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560284"/>
    <w:multiLevelType w:val="multilevel"/>
    <w:tmpl w:val="FD484C7C"/>
    <w:numStyleLink w:val="NumRecitals"/>
  </w:abstractNum>
  <w:abstractNum w:abstractNumId="15" w15:restartNumberingAfterBreak="0">
    <w:nsid w:val="0C69430A"/>
    <w:multiLevelType w:val="multilevel"/>
    <w:tmpl w:val="BCA6C5F4"/>
    <w:lvl w:ilvl="0">
      <w:start w:val="1"/>
      <w:numFmt w:val="decimal"/>
      <w:lvlRestart w:val="0"/>
      <w:pStyle w:val="ssqListe"/>
      <w:suff w:val="nothing"/>
      <w:lvlText w:val="lis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0C984496"/>
    <w:multiLevelType w:val="multilevel"/>
    <w:tmpl w:val="A6C425FC"/>
    <w:lvl w:ilvl="0">
      <w:start w:val="1"/>
      <w:numFmt w:val="decimal"/>
      <w:lvlRestart w:val="0"/>
      <w:pStyle w:val="ssqParte"/>
      <w:suff w:val="nothing"/>
      <w:lvlText w:val="par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E335D41"/>
    <w:multiLevelType w:val="multilevel"/>
    <w:tmpl w:val="AA761B38"/>
    <w:lvl w:ilvl="0">
      <w:start w:val="1"/>
      <w:numFmt w:val="upperLetter"/>
      <w:lvlText w:val="(%1)"/>
      <w:lvlJc w:val="left"/>
      <w:pPr>
        <w:ind w:left="709" w:firstLine="0"/>
      </w:pPr>
      <w:rPr>
        <w:rFonts w:ascii="Arial" w:hAnsi="Arial" w:hint="default"/>
        <w:b w:val="0"/>
        <w:i w:val="0"/>
        <w:caps w:val="0"/>
        <w:strike w:val="0"/>
        <w:dstrike w:val="0"/>
        <w:vanish w:val="0"/>
        <w:color w:val="000000"/>
        <w:sz w:val="20"/>
        <w:vertAlign w:val="baseline"/>
      </w:rPr>
    </w:lvl>
    <w:lvl w:ilvl="1">
      <w:start w:val="1"/>
      <w:numFmt w:val="upperLetter"/>
      <w:lvlText w:val="(%2)"/>
      <w:lvlJc w:val="left"/>
      <w:pPr>
        <w:tabs>
          <w:tab w:val="num" w:pos="1418"/>
        </w:tabs>
        <w:ind w:left="1418" w:hanging="709"/>
      </w:pPr>
      <w:rPr>
        <w:rFonts w:hint="default"/>
      </w:rPr>
    </w:lvl>
    <w:lvl w:ilvl="2">
      <w:start w:val="1"/>
      <w:numFmt w:val="decimal"/>
      <w:lvlText w:val="(%3)"/>
      <w:lvlJc w:val="left"/>
      <w:pPr>
        <w:tabs>
          <w:tab w:val="num" w:pos="1985"/>
        </w:tabs>
        <w:ind w:left="1985" w:hanging="567"/>
      </w:pPr>
      <w:rPr>
        <w:rFonts w:hint="default"/>
      </w:rPr>
    </w:lvl>
    <w:lvl w:ilvl="3">
      <w:start w:val="1"/>
      <w:numFmt w:val="lowerLetter"/>
      <w:lvlText w:val="(%4)"/>
      <w:lvlJc w:val="left"/>
      <w:pPr>
        <w:tabs>
          <w:tab w:val="num" w:pos="2552"/>
        </w:tabs>
        <w:ind w:left="2552" w:hanging="567"/>
      </w:pPr>
      <w:rPr>
        <w:rFonts w:hint="default"/>
      </w:rPr>
    </w:lvl>
    <w:lvl w:ilvl="4">
      <w:start w:val="1"/>
      <w:numFmt w:val="lowerRoman"/>
      <w:lvlText w:val="(%5)"/>
      <w:lvlJc w:val="left"/>
      <w:pPr>
        <w:tabs>
          <w:tab w:val="num" w:pos="3119"/>
        </w:tabs>
        <w:ind w:left="3119"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0FC40C79"/>
    <w:multiLevelType w:val="multilevel"/>
    <w:tmpl w:val="122A155C"/>
    <w:lvl w:ilvl="0">
      <w:start w:val="1"/>
      <w:numFmt w:val="none"/>
      <w:lvlRestart w:val="0"/>
      <w:pStyle w:val="ssRestartAnnex"/>
      <w:suff w:val="space"/>
      <w:lvlText w:val=""/>
      <w:lvlJc w:val="left"/>
      <w:pPr>
        <w:ind w:left="0" w:firstLine="0"/>
      </w:pPr>
      <w:rPr>
        <w:rFonts w:hint="default"/>
      </w:rPr>
    </w:lvl>
    <w:lvl w:ilvl="1">
      <w:start w:val="1"/>
      <w:numFmt w:val="decimal"/>
      <w:suff w:val="nothing"/>
      <w:lvlText w:val="annex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1E06F25"/>
    <w:multiLevelType w:val="multilevel"/>
    <w:tmpl w:val="936AC750"/>
    <w:lvl w:ilvl="0">
      <w:start w:val="1"/>
      <w:numFmt w:val="decimal"/>
      <w:lvlRestart w:val="0"/>
      <w:pStyle w:val="ssqMarcar"/>
      <w:suff w:val="nothing"/>
      <w:lvlText w:val="marc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1475131F"/>
    <w:multiLevelType w:val="multilevel"/>
    <w:tmpl w:val="FD484C7C"/>
    <w:styleLink w:val="NumRecitals"/>
    <w:lvl w:ilvl="0">
      <w:start w:val="1"/>
      <w:numFmt w:val="upperLetter"/>
      <w:pStyle w:val="Recitals"/>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59B177C"/>
    <w:multiLevelType w:val="multilevel"/>
    <w:tmpl w:val="D0200CE0"/>
    <w:styleLink w:val="ExhibitNumbering"/>
    <w:lvl w:ilvl="0">
      <w:start w:val="1"/>
      <w:numFmt w:val="none"/>
      <w:suff w:val="nothing"/>
      <w:lvlText w:val=""/>
      <w:lvlJc w:val="left"/>
      <w:pPr>
        <w:ind w:left="0" w:firstLine="0"/>
      </w:pPr>
      <w:rPr>
        <w:rFonts w:hint="default"/>
      </w:rPr>
    </w:lvl>
    <w:lvl w:ilvl="1">
      <w:start w:val="1"/>
      <w:numFmt w:val="decimal"/>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6B337A"/>
    <w:multiLevelType w:val="multilevel"/>
    <w:tmpl w:val="529ECED8"/>
    <w:lvl w:ilvl="0">
      <w:start w:val="1"/>
      <w:numFmt w:val="decimal"/>
      <w:lvlRestart w:val="0"/>
      <w:pStyle w:val="ssqExposicin"/>
      <w:suff w:val="nothing"/>
      <w:lvlText w:val="exposición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16FB5A6C"/>
    <w:multiLevelType w:val="multilevel"/>
    <w:tmpl w:val="28D0386E"/>
    <w:name w:val="Schedule"/>
    <w:lvl w:ilvl="0">
      <w:start w:val="1"/>
      <w:numFmt w:val="decimal"/>
      <w:lvlRestart w:val="0"/>
      <w:suff w:val="nothing"/>
      <w:lvlText w:val="Schedule %1"/>
      <w:lvlJc w:val="left"/>
      <w:pPr>
        <w:ind w:left="0" w:firstLine="0"/>
      </w:pPr>
      <w:rPr>
        <w:rFonts w:hint="default"/>
        <w:b/>
        <w:i w:val="0"/>
      </w:rPr>
    </w:lvl>
    <w:lvl w:ilvl="1">
      <w:start w:val="1"/>
      <w:numFmt w:val="decimal"/>
      <w:suff w:val="nothing"/>
      <w:lvlText w:val="Part %2"/>
      <w:lvlJc w:val="left"/>
      <w:pPr>
        <w:ind w:left="0" w:firstLine="0"/>
      </w:pPr>
      <w:rPr>
        <w:rFonts w:hint="default"/>
        <w:b/>
        <w:i w:val="0"/>
        <w:u w:val="none"/>
      </w:rPr>
    </w:lvl>
    <w:lvl w:ilvl="2">
      <w:start w:val="1"/>
      <w:numFmt w:val="decimal"/>
      <w:lvlText w:val="%3."/>
      <w:lvlJc w:val="left"/>
      <w:pPr>
        <w:tabs>
          <w:tab w:val="num" w:pos="709"/>
        </w:tabs>
        <w:ind w:left="709" w:hanging="709"/>
      </w:pPr>
      <w:rPr>
        <w:rFonts w:hint="default"/>
        <w:b w:val="0"/>
        <w:i w:val="0"/>
        <w:u w:val="none"/>
      </w:rPr>
    </w:lvl>
    <w:lvl w:ilvl="3">
      <w:start w:val="1"/>
      <w:numFmt w:val="decimal"/>
      <w:lvlText w:val="%3.%4"/>
      <w:lvlJc w:val="left"/>
      <w:pPr>
        <w:tabs>
          <w:tab w:val="num" w:pos="709"/>
        </w:tabs>
        <w:ind w:left="709" w:hanging="709"/>
      </w:pPr>
      <w:rPr>
        <w:rFonts w:hint="default"/>
        <w:b w:val="0"/>
        <w:i w:val="0"/>
      </w:rPr>
    </w:lvl>
    <w:lvl w:ilvl="4">
      <w:start w:val="1"/>
      <w:numFmt w:val="upperLetter"/>
      <w:lvlText w:val="(%5)"/>
      <w:lvlJc w:val="left"/>
      <w:pPr>
        <w:tabs>
          <w:tab w:val="num" w:pos="1417"/>
        </w:tabs>
        <w:ind w:left="1417" w:hanging="708"/>
      </w:pPr>
      <w:rPr>
        <w:rFonts w:hint="default"/>
        <w:b w:val="0"/>
        <w:i w:val="0"/>
      </w:rPr>
    </w:lvl>
    <w:lvl w:ilvl="5">
      <w:start w:val="1"/>
      <w:numFmt w:val="decimal"/>
      <w:lvlText w:val="(%6)"/>
      <w:lvlJc w:val="left"/>
      <w:pPr>
        <w:tabs>
          <w:tab w:val="num" w:pos="1984"/>
        </w:tabs>
        <w:ind w:left="1984" w:hanging="567"/>
      </w:pPr>
      <w:rPr>
        <w:rFonts w:hint="default"/>
        <w:b w:val="0"/>
        <w:i w:val="0"/>
      </w:rPr>
    </w:lvl>
    <w:lvl w:ilvl="6">
      <w:start w:val="1"/>
      <w:numFmt w:val="lowerLetter"/>
      <w:lvlText w:val="(%7)"/>
      <w:lvlJc w:val="left"/>
      <w:pPr>
        <w:tabs>
          <w:tab w:val="num" w:pos="2551"/>
        </w:tabs>
        <w:ind w:left="2551" w:hanging="567"/>
      </w:pPr>
      <w:rPr>
        <w:rFonts w:hint="default"/>
        <w:b w:val="0"/>
        <w:i w:val="0"/>
      </w:rPr>
    </w:lvl>
    <w:lvl w:ilvl="7">
      <w:start w:val="1"/>
      <w:numFmt w:val="lowerRoman"/>
      <w:lvlText w:val="(%8)"/>
      <w:lvlJc w:val="left"/>
      <w:pPr>
        <w:tabs>
          <w:tab w:val="num" w:pos="3118"/>
        </w:tabs>
        <w:ind w:left="3118" w:hanging="567"/>
      </w:pPr>
      <w:rPr>
        <w:rFonts w:hint="default"/>
        <w:b w:val="0"/>
        <w:i w:val="0"/>
      </w:rPr>
    </w:lvl>
    <w:lvl w:ilvl="8">
      <w:start w:val="1"/>
      <w:numFmt w:val="none"/>
      <w:suff w:val="nothing"/>
      <w:lvlText w:val=""/>
      <w:lvlJc w:val="left"/>
      <w:pPr>
        <w:ind w:left="0" w:firstLine="0"/>
      </w:pPr>
      <w:rPr>
        <w:rFonts w:hint="default"/>
      </w:rPr>
    </w:lvl>
  </w:abstractNum>
  <w:abstractNum w:abstractNumId="24" w15:restartNumberingAfterBreak="0">
    <w:nsid w:val="17140D04"/>
    <w:multiLevelType w:val="multilevel"/>
    <w:tmpl w:val="DB2CB420"/>
    <w:lvl w:ilvl="0">
      <w:start w:val="1"/>
      <w:numFmt w:val="decimal"/>
      <w:lvlRestart w:val="0"/>
      <w:pStyle w:val="ssqAnnexe"/>
      <w:suff w:val="nothing"/>
      <w:lvlText w:val="annex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190C26FA"/>
    <w:multiLevelType w:val="multilevel"/>
    <w:tmpl w:val="A9E68506"/>
    <w:lvl w:ilvl="0">
      <w:start w:val="1"/>
      <w:numFmt w:val="none"/>
      <w:pStyle w:val="Definitions"/>
      <w:suff w:val="nothing"/>
      <w:lvlText w:val=""/>
      <w:lvlJc w:val="left"/>
      <w:pPr>
        <w:ind w:left="709" w:firstLine="0"/>
      </w:pPr>
      <w:rPr>
        <w:rFonts w:hint="default"/>
      </w:rPr>
    </w:lvl>
    <w:lvl w:ilvl="1">
      <w:start w:val="1"/>
      <w:numFmt w:val="upperLetter"/>
      <w:pStyle w:val="Definitions1"/>
      <w:lvlText w:val="(%2)"/>
      <w:lvlJc w:val="left"/>
      <w:pPr>
        <w:tabs>
          <w:tab w:val="num" w:pos="1418"/>
        </w:tabs>
        <w:ind w:left="1418" w:hanging="709"/>
      </w:pPr>
      <w:rPr>
        <w:rFonts w:hint="default"/>
      </w:rPr>
    </w:lvl>
    <w:lvl w:ilvl="2">
      <w:start w:val="1"/>
      <w:numFmt w:val="decimal"/>
      <w:pStyle w:val="Definitions2"/>
      <w:lvlText w:val="(%3)"/>
      <w:lvlJc w:val="left"/>
      <w:pPr>
        <w:tabs>
          <w:tab w:val="num" w:pos="1985"/>
        </w:tabs>
        <w:ind w:left="1985" w:hanging="567"/>
      </w:pPr>
      <w:rPr>
        <w:rFonts w:hint="default"/>
      </w:rPr>
    </w:lvl>
    <w:lvl w:ilvl="3">
      <w:start w:val="1"/>
      <w:numFmt w:val="lowerLetter"/>
      <w:pStyle w:val="Definitions3"/>
      <w:lvlText w:val="(%4)"/>
      <w:lvlJc w:val="left"/>
      <w:pPr>
        <w:tabs>
          <w:tab w:val="num" w:pos="2552"/>
        </w:tabs>
        <w:ind w:left="2552" w:hanging="567"/>
      </w:pPr>
      <w:rPr>
        <w:rFonts w:hint="default"/>
      </w:rPr>
    </w:lvl>
    <w:lvl w:ilvl="4">
      <w:start w:val="1"/>
      <w:numFmt w:val="lowerRoman"/>
      <w:pStyle w:val="Definitions4"/>
      <w:lvlText w:val="(%5)"/>
      <w:lvlJc w:val="left"/>
      <w:pPr>
        <w:tabs>
          <w:tab w:val="num" w:pos="3119"/>
        </w:tabs>
        <w:ind w:left="3119"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C812D95"/>
    <w:multiLevelType w:val="multilevel"/>
    <w:tmpl w:val="6CB62434"/>
    <w:lvl w:ilvl="0">
      <w:start w:val="1"/>
      <w:numFmt w:val="decimal"/>
      <w:lvlRestart w:val="0"/>
      <w:pStyle w:val="ssqSchema"/>
      <w:suff w:val="nothing"/>
      <w:lvlText w:val="schem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CD55F89"/>
    <w:multiLevelType w:val="multilevel"/>
    <w:tmpl w:val="71AE82BE"/>
    <w:lvl w:ilvl="0">
      <w:start w:val="1"/>
      <w:numFmt w:val="decimal"/>
      <w:lvlRestart w:val="0"/>
      <w:pStyle w:val="ssqTeil"/>
      <w:suff w:val="nothing"/>
      <w:lvlText w:val="tei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1DF74D5C"/>
    <w:multiLevelType w:val="multilevel"/>
    <w:tmpl w:val="B6383584"/>
    <w:lvl w:ilvl="0">
      <w:start w:val="1"/>
      <w:numFmt w:val="decimal"/>
      <w:lvlRestart w:val="0"/>
      <w:pStyle w:val="ssq0"/>
      <w:suff w:val="nothing"/>
      <w:lvlText w:val="المرف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1A61B4F"/>
    <w:multiLevelType w:val="multilevel"/>
    <w:tmpl w:val="78DCF88E"/>
    <w:lvl w:ilvl="0">
      <w:start w:val="1"/>
      <w:numFmt w:val="decimal"/>
      <w:lvlRestart w:val="0"/>
      <w:pStyle w:val="ssqAnlage"/>
      <w:suff w:val="nothing"/>
      <w:lvlText w:val="anlag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22B7544"/>
    <w:multiLevelType w:val="multilevel"/>
    <w:tmpl w:val="25A6DE5A"/>
    <w:lvl w:ilvl="0">
      <w:start w:val="1"/>
      <w:numFmt w:val="decimal"/>
      <w:lvlRestart w:val="0"/>
      <w:pStyle w:val="ssqAllegato"/>
      <w:suff w:val="nothing"/>
      <w:lvlText w:val="allegat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240C1329"/>
    <w:multiLevelType w:val="multilevel"/>
    <w:tmpl w:val="3A02A772"/>
    <w:lvl w:ilvl="0">
      <w:start w:val="1"/>
      <w:numFmt w:val="decimal"/>
      <w:lvlRestart w:val="0"/>
      <w:pStyle w:val="ssqApndice"/>
      <w:suff w:val="nothing"/>
      <w:lvlText w:val="apé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24977E4E"/>
    <w:multiLevelType w:val="multilevel"/>
    <w:tmpl w:val="5CE40D6E"/>
    <w:styleLink w:val="NumDefinitions"/>
    <w:lvl w:ilvl="0">
      <w:start w:val="1"/>
      <w:numFmt w:val="none"/>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1985"/>
        </w:tabs>
        <w:ind w:left="1985"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33" w15:restartNumberingAfterBreak="0">
    <w:nsid w:val="27244E0F"/>
    <w:multiLevelType w:val="multilevel"/>
    <w:tmpl w:val="D0200CE0"/>
    <w:lvl w:ilvl="0">
      <w:start w:val="1"/>
      <w:numFmt w:val="none"/>
      <w:pStyle w:val="ssRestartExhibit"/>
      <w:suff w:val="nothing"/>
      <w:lvlText w:val=""/>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BAA5C75"/>
    <w:multiLevelType w:val="multilevel"/>
    <w:tmpl w:val="4D041E88"/>
    <w:lvl w:ilvl="0">
      <w:start w:val="1"/>
      <w:numFmt w:val="decimal"/>
      <w:lvlRestart w:val="0"/>
      <w:pStyle w:val="ssqProductie"/>
      <w:suff w:val="nothing"/>
      <w:lvlText w:val="producti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BD40EEA"/>
    <w:multiLevelType w:val="multilevel"/>
    <w:tmpl w:val="9B8E0878"/>
    <w:lvl w:ilvl="0">
      <w:start w:val="1"/>
      <w:numFmt w:val="none"/>
      <w:lvlRestart w:val="0"/>
      <w:pStyle w:val="ssRestartExposicin"/>
      <w:suff w:val="space"/>
      <w:lvlText w:val=""/>
      <w:lvlJc w:val="left"/>
      <w:pPr>
        <w:ind w:left="0" w:firstLine="0"/>
      </w:pPr>
      <w:rPr>
        <w:rFonts w:hint="default"/>
      </w:rPr>
    </w:lvl>
    <w:lvl w:ilvl="1">
      <w:start w:val="1"/>
      <w:numFmt w:val="decimal"/>
      <w:suff w:val="nothing"/>
      <w:lvlText w:val="exposición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E9F35EA"/>
    <w:multiLevelType w:val="multilevel"/>
    <w:tmpl w:val="E0FA8E66"/>
    <w:numStyleLink w:val="ScheduleNumbering"/>
  </w:abstractNum>
  <w:abstractNum w:abstractNumId="37" w15:restartNumberingAfterBreak="0">
    <w:nsid w:val="345F6E23"/>
    <w:multiLevelType w:val="multilevel"/>
    <w:tmpl w:val="DEF02120"/>
    <w:lvl w:ilvl="0">
      <w:start w:val="1"/>
      <w:numFmt w:val="decimal"/>
      <w:lvlRestart w:val="0"/>
      <w:pStyle w:val="ssqScheda"/>
      <w:suff w:val="nothing"/>
      <w:lvlText w:val="sched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350245E9"/>
    <w:multiLevelType w:val="multilevel"/>
    <w:tmpl w:val="B60C81CC"/>
    <w:styleLink w:val="NumPara"/>
    <w:lvl w:ilvl="0">
      <w:start w:val="1"/>
      <w:numFmt w:val="none"/>
      <w:pStyle w:val="ssPara"/>
      <w:suff w:val="nothing"/>
      <w:lvlText w:val=""/>
      <w:lvlJc w:val="left"/>
      <w:pPr>
        <w:ind w:left="0" w:firstLine="0"/>
      </w:pPr>
      <w:rPr>
        <w:rFonts w:hint="default"/>
      </w:rPr>
    </w:lvl>
    <w:lvl w:ilvl="1">
      <w:start w:val="1"/>
      <w:numFmt w:val="none"/>
      <w:pStyle w:val="ssPara1"/>
      <w:suff w:val="nothing"/>
      <w:lvlText w:val=""/>
      <w:lvlJc w:val="left"/>
      <w:pPr>
        <w:ind w:left="709" w:firstLine="0"/>
      </w:pPr>
      <w:rPr>
        <w:rFonts w:hint="default"/>
      </w:rPr>
    </w:lvl>
    <w:lvl w:ilvl="2">
      <w:start w:val="1"/>
      <w:numFmt w:val="none"/>
      <w:pStyle w:val="ssPara2"/>
      <w:suff w:val="nothing"/>
      <w:lvlText w:val=""/>
      <w:lvlJc w:val="left"/>
      <w:pPr>
        <w:ind w:left="709" w:firstLine="0"/>
      </w:pPr>
      <w:rPr>
        <w:rFonts w:hint="default"/>
      </w:rPr>
    </w:lvl>
    <w:lvl w:ilvl="3">
      <w:start w:val="1"/>
      <w:numFmt w:val="none"/>
      <w:pStyle w:val="ssPara3"/>
      <w:suff w:val="nothing"/>
      <w:lvlText w:val=""/>
      <w:lvlJc w:val="left"/>
      <w:pPr>
        <w:ind w:left="1418" w:firstLine="0"/>
      </w:pPr>
      <w:rPr>
        <w:rFonts w:hint="default"/>
      </w:rPr>
    </w:lvl>
    <w:lvl w:ilvl="4">
      <w:start w:val="1"/>
      <w:numFmt w:val="none"/>
      <w:pStyle w:val="ssPara4"/>
      <w:suff w:val="nothing"/>
      <w:lvlText w:val=""/>
      <w:lvlJc w:val="left"/>
      <w:pPr>
        <w:ind w:left="1985" w:firstLine="0"/>
      </w:pPr>
      <w:rPr>
        <w:rFonts w:hint="default"/>
      </w:rPr>
    </w:lvl>
    <w:lvl w:ilvl="5">
      <w:start w:val="1"/>
      <w:numFmt w:val="none"/>
      <w:pStyle w:val="ssPara5"/>
      <w:suff w:val="nothing"/>
      <w:lvlText w:val=""/>
      <w:lvlJc w:val="left"/>
      <w:pPr>
        <w:ind w:left="2552" w:firstLine="0"/>
      </w:pPr>
      <w:rPr>
        <w:rFonts w:hint="default"/>
      </w:rPr>
    </w:lvl>
    <w:lvl w:ilvl="6">
      <w:start w:val="1"/>
      <w:numFmt w:val="none"/>
      <w:pStyle w:val="ssPara6"/>
      <w:suff w:val="nothing"/>
      <w:lvlText w:val=""/>
      <w:lvlJc w:val="left"/>
      <w:pPr>
        <w:ind w:left="3119"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353030E2"/>
    <w:multiLevelType w:val="multilevel"/>
    <w:tmpl w:val="84B0CB6E"/>
    <w:lvl w:ilvl="0">
      <w:start w:val="1"/>
      <w:numFmt w:val="decimal"/>
      <w:lvlRestart w:val="0"/>
      <w:pStyle w:val="ssqMarcao"/>
      <w:suff w:val="nothing"/>
      <w:lvlText w:val="marcaçã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39937EB2"/>
    <w:multiLevelType w:val="multilevel"/>
    <w:tmpl w:val="E0FA8E66"/>
    <w:styleLink w:val="ScheduleNumbering"/>
    <w:lvl w:ilvl="0">
      <w:start w:val="1"/>
      <w:numFmt w:val="none"/>
      <w:pStyle w:val="ssRestartSchedule"/>
      <w:suff w:val="nothing"/>
      <w:lvlText w:val=""/>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9937EB3"/>
    <w:multiLevelType w:val="multilevel"/>
    <w:tmpl w:val="1130A0CA"/>
    <w:styleLink w:val="SectionNumbering"/>
    <w:lvl w:ilvl="0">
      <w:start w:val="1"/>
      <w:numFmt w:val="none"/>
      <w:pStyle w:val="ssRestartSection"/>
      <w:suff w:val="nothing"/>
      <w:lvlText w:val="%1"/>
      <w:lvlJc w:val="left"/>
      <w:pPr>
        <w:ind w:left="0" w:firstLine="0"/>
      </w:pPr>
      <w:rPr>
        <w:rFonts w:hint="default"/>
      </w:rPr>
    </w:lvl>
    <w:lvl w:ilvl="1">
      <w:start w:val="1"/>
      <w:numFmt w:val="decimal"/>
      <w:pStyle w:val="ssqSection"/>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AD82D68"/>
    <w:multiLevelType w:val="multilevel"/>
    <w:tmpl w:val="7EEA7940"/>
    <w:lvl w:ilvl="0">
      <w:start w:val="1"/>
      <w:numFmt w:val="decimal"/>
      <w:lvlRestart w:val="0"/>
      <w:pStyle w:val="ssqApresentar"/>
      <w:suff w:val="nothing"/>
      <w:lvlText w:val="apresent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3B4B700E"/>
    <w:multiLevelType w:val="multilevel"/>
    <w:tmpl w:val="20665F4A"/>
    <w:styleLink w:val="NumMain"/>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upp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i w:val="0"/>
      </w:rPr>
    </w:lvl>
    <w:lvl w:ilvl="4">
      <w:start w:val="1"/>
      <w:numFmt w:val="lowerLetter"/>
      <w:lvlText w:val="(%5)"/>
      <w:lvlJc w:val="left"/>
      <w:pPr>
        <w:tabs>
          <w:tab w:val="num" w:pos="2552"/>
        </w:tabs>
        <w:ind w:left="2552" w:hanging="567"/>
      </w:pPr>
      <w:rPr>
        <w:rFonts w:hint="default"/>
        <w:b w:val="0"/>
        <w:i w:val="0"/>
      </w:rPr>
    </w:lvl>
    <w:lvl w:ilvl="5">
      <w:start w:val="1"/>
      <w:numFmt w:val="lowerRoman"/>
      <w:lvlText w:val="(%6)"/>
      <w:lvlJc w:val="left"/>
      <w:pPr>
        <w:tabs>
          <w:tab w:val="num" w:pos="3119"/>
        </w:tabs>
        <w:ind w:left="3119" w:hanging="567"/>
      </w:pPr>
      <w:rPr>
        <w:rFonts w:hint="default"/>
        <w:b w:val="0"/>
        <w:i w:val="0"/>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40D0213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10D44A5"/>
    <w:multiLevelType w:val="multilevel"/>
    <w:tmpl w:val="6918195C"/>
    <w:lvl w:ilvl="0">
      <w:start w:val="1"/>
      <w:numFmt w:val="decimal"/>
      <w:lvlRestart w:val="0"/>
      <w:pStyle w:val="ssqDeel"/>
      <w:suff w:val="nothing"/>
      <w:lvlText w:val="de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4130019E"/>
    <w:multiLevelType w:val="multilevel"/>
    <w:tmpl w:val="BF5EEB72"/>
    <w:lvl w:ilvl="0">
      <w:start w:val="1"/>
      <w:numFmt w:val="decimal"/>
      <w:lvlRestart w:val="0"/>
      <w:pStyle w:val="ssqBijlage"/>
      <w:suff w:val="nothing"/>
      <w:lvlText w:val="bijlag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41732064"/>
    <w:multiLevelType w:val="multilevel"/>
    <w:tmpl w:val="4FD06410"/>
    <w:lvl w:ilvl="0">
      <w:start w:val="1"/>
      <w:numFmt w:val="decimal"/>
      <w:lvlRestart w:val="0"/>
      <w:pStyle w:val="ssq1"/>
      <w:suff w:val="nothing"/>
      <w:lvlText w:val="الملح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424C171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4400737D"/>
    <w:multiLevelType w:val="multilevel"/>
    <w:tmpl w:val="A0821DD6"/>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40A67E5"/>
    <w:multiLevelType w:val="multilevel"/>
    <w:tmpl w:val="C6843C52"/>
    <w:styleLink w:val="NumSch"/>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709"/>
        </w:tabs>
        <w:ind w:left="709" w:hanging="709"/>
      </w:pPr>
      <w:rPr>
        <w:rFonts w:hint="default"/>
        <w:b w:val="0"/>
        <w:i w:val="0"/>
      </w:rPr>
    </w:lvl>
    <w:lvl w:ilvl="3">
      <w:start w:val="1"/>
      <w:numFmt w:val="decimal"/>
      <w:lvlText w:val="%3.%4"/>
      <w:lvlJc w:val="left"/>
      <w:pPr>
        <w:tabs>
          <w:tab w:val="num" w:pos="709"/>
        </w:tabs>
        <w:ind w:left="709" w:hanging="709"/>
      </w:pPr>
      <w:rPr>
        <w:rFonts w:hint="default"/>
        <w:b w:val="0"/>
        <w:i w:val="0"/>
      </w:rPr>
    </w:lvl>
    <w:lvl w:ilvl="4">
      <w:start w:val="1"/>
      <w:numFmt w:val="upperLetter"/>
      <w:lvlText w:val="(%5)"/>
      <w:lvlJc w:val="left"/>
      <w:pPr>
        <w:tabs>
          <w:tab w:val="num" w:pos="1418"/>
        </w:tabs>
        <w:ind w:left="1418" w:hanging="709"/>
      </w:pPr>
      <w:rPr>
        <w:rFonts w:hint="default"/>
        <w:b w:val="0"/>
        <w:i w:val="0"/>
      </w:rPr>
    </w:lvl>
    <w:lvl w:ilvl="5">
      <w:start w:val="1"/>
      <w:numFmt w:val="decimal"/>
      <w:lvlText w:val="(%6)"/>
      <w:lvlJc w:val="left"/>
      <w:pPr>
        <w:tabs>
          <w:tab w:val="num" w:pos="1985"/>
        </w:tabs>
        <w:ind w:left="1985" w:hanging="567"/>
      </w:pPr>
      <w:rPr>
        <w:rFonts w:hint="default"/>
        <w:b w:val="0"/>
        <w:i w:val="0"/>
      </w:rPr>
    </w:lvl>
    <w:lvl w:ilvl="6">
      <w:start w:val="1"/>
      <w:numFmt w:val="lowerLetter"/>
      <w:lvlText w:val="(%7)"/>
      <w:lvlJc w:val="left"/>
      <w:pPr>
        <w:tabs>
          <w:tab w:val="num" w:pos="2552"/>
        </w:tabs>
        <w:ind w:left="2552" w:hanging="567"/>
      </w:pPr>
      <w:rPr>
        <w:rFonts w:hint="default"/>
        <w:b w:val="0"/>
        <w:i w:val="0"/>
      </w:rPr>
    </w:lvl>
    <w:lvl w:ilvl="7">
      <w:start w:val="1"/>
      <w:numFmt w:val="lowerRoman"/>
      <w:lvlText w:val="(%8)"/>
      <w:lvlJc w:val="left"/>
      <w:pPr>
        <w:tabs>
          <w:tab w:val="num" w:pos="3119"/>
        </w:tabs>
        <w:ind w:left="3119" w:hanging="567"/>
      </w:pPr>
      <w:rPr>
        <w:rFonts w:hint="default"/>
        <w:b w:val="0"/>
        <w:i w:val="0"/>
      </w:rPr>
    </w:lvl>
    <w:lvl w:ilvl="8">
      <w:start w:val="1"/>
      <w:numFmt w:val="none"/>
      <w:suff w:val="nothing"/>
      <w:lvlText w:val=""/>
      <w:lvlJc w:val="left"/>
      <w:pPr>
        <w:ind w:left="0" w:firstLine="0"/>
      </w:pPr>
      <w:rPr>
        <w:rFonts w:hint="default"/>
      </w:rPr>
    </w:lvl>
  </w:abstractNum>
  <w:abstractNum w:abstractNumId="51" w15:restartNumberingAfterBreak="0">
    <w:nsid w:val="464E539F"/>
    <w:multiLevelType w:val="multilevel"/>
    <w:tmpl w:val="576C219E"/>
    <w:styleLink w:val="AppendixNumbering"/>
    <w:lvl w:ilvl="0">
      <w:start w:val="1"/>
      <w:numFmt w:val="none"/>
      <w:suff w:val="nothing"/>
      <w:lvlText w:val=""/>
      <w:lvlJc w:val="left"/>
      <w:pPr>
        <w:ind w:left="0" w:firstLine="0"/>
      </w:pPr>
      <w:rPr>
        <w:rFonts w:hint="default"/>
      </w:rPr>
    </w:lvl>
    <w:lvl w:ilvl="1">
      <w:start w:val="1"/>
      <w:numFmt w:val="decimal"/>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7E97851"/>
    <w:multiLevelType w:val="multilevel"/>
    <w:tmpl w:val="CDB633F6"/>
    <w:lvl w:ilvl="0">
      <w:start w:val="1"/>
      <w:numFmt w:val="decimal"/>
      <w:lvlRestart w:val="0"/>
      <w:pStyle w:val="ssqMostrar"/>
      <w:suff w:val="nothing"/>
      <w:lvlText w:val="mostr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47F37F75"/>
    <w:multiLevelType w:val="multilevel"/>
    <w:tmpl w:val="F60608A2"/>
    <w:name w:val="Recitals"/>
    <w:lvl w:ilvl="0">
      <w:start w:val="1"/>
      <w:numFmt w:val="upperLetter"/>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486C2ACA"/>
    <w:multiLevelType w:val="multilevel"/>
    <w:tmpl w:val="B4525B04"/>
    <w:lvl w:ilvl="0">
      <w:start w:val="1"/>
      <w:numFmt w:val="decimal"/>
      <w:lvlRestart w:val="0"/>
      <w:pStyle w:val="ssqPartie"/>
      <w:suff w:val="nothing"/>
      <w:lvlText w:val="parti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4F193B13"/>
    <w:multiLevelType w:val="hybridMultilevel"/>
    <w:tmpl w:val="28ACA62C"/>
    <w:lvl w:ilvl="0" w:tplc="EDD6BF02">
      <w:start w:val="1"/>
      <w:numFmt w:val="upperLetter"/>
      <w:pStyle w:val="ssUserEntryLettered"/>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7E071B"/>
    <w:multiLevelType w:val="multilevel"/>
    <w:tmpl w:val="9496A6FC"/>
    <w:lvl w:ilvl="0">
      <w:start w:val="1"/>
      <w:numFmt w:val="none"/>
      <w:pStyle w:val="ssRestartPart"/>
      <w:suff w:val="nothing"/>
      <w:lvlText w:val=""/>
      <w:lvlJc w:val="left"/>
      <w:pPr>
        <w:ind w:left="0" w:firstLine="0"/>
      </w:pPr>
      <w:rPr>
        <w:rFonts w:hint="default"/>
      </w:rPr>
    </w:lvl>
    <w:lvl w:ilvl="1">
      <w:start w:val="1"/>
      <w:numFmt w:val="decimal"/>
      <w:pStyle w:val="ssqPart"/>
      <w:suff w:val="space"/>
      <w:lvlText w:val="Par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1B6AD7"/>
    <w:multiLevelType w:val="multilevel"/>
    <w:tmpl w:val="576C219E"/>
    <w:numStyleLink w:val="AppendixNumbering"/>
  </w:abstractNum>
  <w:abstractNum w:abstractNumId="58" w15:restartNumberingAfterBreak="0">
    <w:nsid w:val="53792175"/>
    <w:multiLevelType w:val="multilevel"/>
    <w:tmpl w:val="47285A8A"/>
    <w:lvl w:ilvl="0">
      <w:start w:val="1"/>
      <w:numFmt w:val="decimal"/>
      <w:lvlRestart w:val="0"/>
      <w:pStyle w:val="ssqAgendar"/>
      <w:suff w:val="nothing"/>
      <w:lvlText w:val="agend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54D24CB9"/>
    <w:multiLevelType w:val="multilevel"/>
    <w:tmpl w:val="B96E3722"/>
    <w:lvl w:ilvl="0">
      <w:start w:val="1"/>
      <w:numFmt w:val="decimal"/>
      <w:lvlRestart w:val="0"/>
      <w:pStyle w:val="ssqAnexo"/>
      <w:suff w:val="nothing"/>
      <w:lvlText w:val="anex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562B7FD0"/>
    <w:multiLevelType w:val="multilevel"/>
    <w:tmpl w:val="DB62E806"/>
    <w:lvl w:ilvl="0">
      <w:start w:val="1"/>
      <w:numFmt w:val="decimal"/>
      <w:lvlRestart w:val="0"/>
      <w:pStyle w:val="ssq2"/>
      <w:suff w:val="nothing"/>
      <w:lvlText w:val="الجدول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57C02942"/>
    <w:multiLevelType w:val="multilevel"/>
    <w:tmpl w:val="1CD2F3B0"/>
    <w:lvl w:ilvl="0">
      <w:start w:val="1"/>
      <w:numFmt w:val="none"/>
      <w:lvlRestart w:val="0"/>
      <w:pStyle w:val="ssRestartScheda"/>
      <w:suff w:val="space"/>
      <w:lvlText w:val=""/>
      <w:lvlJc w:val="left"/>
      <w:pPr>
        <w:ind w:left="0" w:firstLine="0"/>
      </w:pPr>
      <w:rPr>
        <w:rFonts w:hint="default"/>
      </w:rPr>
    </w:lvl>
    <w:lvl w:ilvl="1">
      <w:start w:val="1"/>
      <w:numFmt w:val="decimal"/>
      <w:suff w:val="nothing"/>
      <w:lvlText w:val="scheda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5B842735"/>
    <w:multiLevelType w:val="multilevel"/>
    <w:tmpl w:val="A5F65242"/>
    <w:styleLink w:val="NumParties"/>
    <w:lvl w:ilvl="0">
      <w:start w:val="1"/>
      <w:numFmt w:val="decimal"/>
      <w:pStyle w:val="Parties"/>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3" w15:restartNumberingAfterBreak="0">
    <w:nsid w:val="5BF470F7"/>
    <w:multiLevelType w:val="multilevel"/>
    <w:tmpl w:val="0190697E"/>
    <w:lvl w:ilvl="0">
      <w:start w:val="1"/>
      <w:numFmt w:val="decimal"/>
      <w:lvlRestart w:val="0"/>
      <w:pStyle w:val="ssqPrograma"/>
      <w:suff w:val="nothing"/>
      <w:lvlText w:val="program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4" w15:restartNumberingAfterBreak="0">
    <w:nsid w:val="5BFB0315"/>
    <w:multiLevelType w:val="multilevel"/>
    <w:tmpl w:val="7F324546"/>
    <w:lvl w:ilvl="0">
      <w:start w:val="1"/>
      <w:numFmt w:val="decimal"/>
      <w:lvlRestart w:val="0"/>
      <w:pStyle w:val="ssqAppendice"/>
      <w:suff w:val="nothing"/>
      <w:lvlText w:val="appe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5" w15:restartNumberingAfterBreak="0">
    <w:nsid w:val="615F32C4"/>
    <w:multiLevelType w:val="multilevel"/>
    <w:tmpl w:val="F8C8927A"/>
    <w:lvl w:ilvl="0">
      <w:start w:val="1"/>
      <w:numFmt w:val="decimal"/>
      <w:lvlRestart w:val="0"/>
      <w:pStyle w:val="ssqCalendario"/>
      <w:suff w:val="nothing"/>
      <w:lvlText w:val="calendari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7" w15:restartNumberingAfterBreak="0">
    <w:nsid w:val="64B70B2F"/>
    <w:multiLevelType w:val="multilevel"/>
    <w:tmpl w:val="DB26FA74"/>
    <w:lvl w:ilvl="0">
      <w:start w:val="1"/>
      <w:numFmt w:val="decimal"/>
      <w:lvlRestart w:val="0"/>
      <w:pStyle w:val="ssq3"/>
      <w:suff w:val="nothing"/>
      <w:lvlText w:val="ملح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675C02D9"/>
    <w:multiLevelType w:val="multilevel"/>
    <w:tmpl w:val="07580F90"/>
    <w:lvl w:ilvl="0">
      <w:start w:val="1"/>
      <w:numFmt w:val="decimal"/>
      <w:lvlRestart w:val="0"/>
      <w:pStyle w:val="ssqBewijsstuk"/>
      <w:suff w:val="nothing"/>
      <w:lvlText w:val="bewijsstuk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9" w15:restartNumberingAfterBreak="0">
    <w:nsid w:val="68705481"/>
    <w:multiLevelType w:val="multilevel"/>
    <w:tmpl w:val="1FBA9B46"/>
    <w:lvl w:ilvl="0">
      <w:start w:val="1"/>
      <w:numFmt w:val="none"/>
      <w:suff w:val="nothing"/>
      <w:lvlText w:val="%1"/>
      <w:lvlJc w:val="left"/>
      <w:pPr>
        <w:ind w:left="0" w:firstLine="0"/>
      </w:pPr>
      <w:rPr>
        <w:rFonts w:hint="default"/>
      </w:rPr>
    </w:lvl>
    <w:lvl w:ilvl="1">
      <w:start w:val="1"/>
      <w:numFmt w:val="bullet"/>
      <w:lvlText w:val=""/>
      <w:lvlJc w:val="left"/>
      <w:pPr>
        <w:tabs>
          <w:tab w:val="num" w:pos="709"/>
        </w:tabs>
        <w:ind w:left="709" w:hanging="709"/>
      </w:pPr>
      <w:rPr>
        <w:rFonts w:ascii="Symbol" w:hAnsi="Symbol" w:hint="default"/>
        <w:b w:val="0"/>
        <w:i w:val="0"/>
        <w:u w:val="none"/>
      </w:rPr>
    </w:lvl>
    <w:lvl w:ilvl="2">
      <w:start w:val="1"/>
      <w:numFmt w:val="decimal"/>
      <w:lvlText w:val="%2.%3"/>
      <w:lvlJc w:val="left"/>
      <w:pPr>
        <w:tabs>
          <w:tab w:val="num" w:pos="709"/>
        </w:tabs>
        <w:ind w:left="709" w:hanging="709"/>
      </w:pPr>
      <w:rPr>
        <w:rFonts w:asciiTheme="minorHAnsi" w:hAnsiTheme="minorHAnsi" w:cstheme="minorHAnsi" w:hint="default"/>
        <w:b w:val="0"/>
        <w:i w:val="0"/>
        <w:u w:val="none"/>
      </w:rPr>
    </w:lvl>
    <w:lvl w:ilvl="3">
      <w:start w:val="1"/>
      <w:numFmt w:val="upperLetter"/>
      <w:lvlText w:val="(%4)"/>
      <w:lvlJc w:val="left"/>
      <w:pPr>
        <w:tabs>
          <w:tab w:val="num" w:pos="1418"/>
        </w:tabs>
        <w:ind w:left="1418" w:hanging="709"/>
      </w:pPr>
      <w:rPr>
        <w:rFonts w:hint="default"/>
        <w:b w:val="0"/>
        <w:i w:val="0"/>
      </w:rPr>
    </w:lvl>
    <w:lvl w:ilvl="4">
      <w:start w:val="1"/>
      <w:numFmt w:val="decimal"/>
      <w:lvlText w:val="(%5)"/>
      <w:lvlJc w:val="left"/>
      <w:pPr>
        <w:tabs>
          <w:tab w:val="num" w:pos="1985"/>
        </w:tabs>
        <w:ind w:left="1985" w:hanging="567"/>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lowerRoman"/>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8CD5981"/>
    <w:multiLevelType w:val="multilevel"/>
    <w:tmpl w:val="C2D87C8A"/>
    <w:lvl w:ilvl="0">
      <w:start w:val="1"/>
      <w:numFmt w:val="decimal"/>
      <w:lvlRestart w:val="0"/>
      <w:pStyle w:val="ssqExibir"/>
      <w:suff w:val="nothing"/>
      <w:lvlText w:val="exibi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6A200A64"/>
    <w:multiLevelType w:val="multilevel"/>
    <w:tmpl w:val="B60C81CC"/>
    <w:numStyleLink w:val="NumPara"/>
  </w:abstractNum>
  <w:abstractNum w:abstractNumId="72" w15:restartNumberingAfterBreak="0">
    <w:nsid w:val="6B031620"/>
    <w:multiLevelType w:val="multilevel"/>
    <w:tmpl w:val="92F68528"/>
    <w:lvl w:ilvl="0">
      <w:start w:val="1"/>
      <w:numFmt w:val="decimal"/>
      <w:lvlRestart w:val="0"/>
      <w:pStyle w:val="ssqSeccin"/>
      <w:suff w:val="nothing"/>
      <w:lvlText w:val="secció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15:restartNumberingAfterBreak="0">
    <w:nsid w:val="6F7F2C65"/>
    <w:multiLevelType w:val="multilevel"/>
    <w:tmpl w:val="03FE7BEC"/>
    <w:lvl w:ilvl="0">
      <w:start w:val="1"/>
      <w:numFmt w:val="decimal"/>
      <w:lvlRestart w:val="0"/>
      <w:pStyle w:val="ssq4"/>
      <w:suff w:val="nothing"/>
      <w:lvlText w:val="قسم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72B9036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467555A"/>
    <w:multiLevelType w:val="multilevel"/>
    <w:tmpl w:val="5A58706A"/>
    <w:name w:val="Main"/>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upp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i w:val="0"/>
      </w:rPr>
    </w:lvl>
    <w:lvl w:ilvl="4">
      <w:start w:val="1"/>
      <w:numFmt w:val="lowerLetter"/>
      <w:lvlText w:val="(%5)"/>
      <w:lvlJc w:val="left"/>
      <w:pPr>
        <w:tabs>
          <w:tab w:val="num" w:pos="2552"/>
        </w:tabs>
        <w:ind w:left="2552" w:hanging="567"/>
      </w:pPr>
      <w:rPr>
        <w:rFonts w:hint="default"/>
        <w:b w:val="0"/>
        <w:i w:val="0"/>
      </w:rPr>
    </w:lvl>
    <w:lvl w:ilvl="5">
      <w:start w:val="1"/>
      <w:numFmt w:val="lowerRoman"/>
      <w:lvlText w:val="(%6)"/>
      <w:lvlJc w:val="left"/>
      <w:pPr>
        <w:tabs>
          <w:tab w:val="num" w:pos="3119"/>
        </w:tabs>
        <w:ind w:left="3119" w:hanging="567"/>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6" w15:restartNumberingAfterBreak="0">
    <w:nsid w:val="752B37AC"/>
    <w:multiLevelType w:val="multilevel"/>
    <w:tmpl w:val="F5D807EE"/>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pStyle w:val="Heading7"/>
      <w:suff w:val="nothing"/>
      <w:lvlText w:val=""/>
      <w:lvlJc w:val="left"/>
      <w:pPr>
        <w:ind w:left="0" w:firstLine="0"/>
      </w:pPr>
      <w:rPr>
        <w:rFonts w:hint="default"/>
        <w:b w:val="0"/>
      </w:rPr>
    </w:lvl>
    <w:lvl w:ilvl="8">
      <w:start w:val="1"/>
      <w:numFmt w:val="none"/>
      <w:pStyle w:val="Heading8"/>
      <w:suff w:val="nothing"/>
      <w:lvlText w:val=""/>
      <w:lvlJc w:val="left"/>
      <w:pPr>
        <w:ind w:left="0" w:firstLine="0"/>
      </w:pPr>
      <w:rPr>
        <w:rFonts w:hint="default"/>
        <w:b w:val="0"/>
      </w:rPr>
    </w:lvl>
  </w:abstractNum>
  <w:abstractNum w:abstractNumId="77" w15:restartNumberingAfterBreak="0">
    <w:nsid w:val="761C560F"/>
    <w:multiLevelType w:val="multilevel"/>
    <w:tmpl w:val="CC54312C"/>
    <w:lvl w:ilvl="0">
      <w:start w:val="1"/>
      <w:numFmt w:val="decimal"/>
      <w:lvlRestart w:val="0"/>
      <w:pStyle w:val="ssq5"/>
      <w:suff w:val="nothing"/>
      <w:lvlText w:val="جدول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7A2C410F"/>
    <w:multiLevelType w:val="hybridMultilevel"/>
    <w:tmpl w:val="929CD210"/>
    <w:lvl w:ilvl="0" w:tplc="1E642FDC">
      <w:start w:val="1"/>
      <w:numFmt w:val="decimal"/>
      <w:pStyle w:val="ssUserEntryNumbered"/>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B8037EF"/>
    <w:multiLevelType w:val="multilevel"/>
    <w:tmpl w:val="7F0ECB28"/>
    <w:lvl w:ilvl="0">
      <w:start w:val="1"/>
      <w:numFmt w:val="decimal"/>
      <w:lvlRestart w:val="0"/>
      <w:pStyle w:val="ssqAnhang"/>
      <w:suff w:val="nothing"/>
      <w:lvlText w:val="anhang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4952334">
    <w:abstractNumId w:val="58"/>
  </w:num>
  <w:num w:numId="2" w16cid:durableId="433789702">
    <w:abstractNumId w:val="30"/>
  </w:num>
  <w:num w:numId="3" w16cid:durableId="852034655">
    <w:abstractNumId w:val="59"/>
  </w:num>
  <w:num w:numId="4" w16cid:durableId="718629639">
    <w:abstractNumId w:val="79"/>
  </w:num>
  <w:num w:numId="5" w16cid:durableId="343288106">
    <w:abstractNumId w:val="24"/>
  </w:num>
  <w:num w:numId="6" w16cid:durableId="2097510342">
    <w:abstractNumId w:val="31"/>
  </w:num>
  <w:num w:numId="7" w16cid:durableId="878012862">
    <w:abstractNumId w:val="64"/>
  </w:num>
  <w:num w:numId="8" w16cid:durableId="1265306177">
    <w:abstractNumId w:val="42"/>
  </w:num>
  <w:num w:numId="9" w16cid:durableId="1447499906">
    <w:abstractNumId w:val="65"/>
  </w:num>
  <w:num w:numId="10" w16cid:durableId="1452742972">
    <w:abstractNumId w:val="70"/>
  </w:num>
  <w:num w:numId="11" w16cid:durableId="1015812802">
    <w:abstractNumId w:val="15"/>
  </w:num>
  <w:num w:numId="12" w16cid:durableId="493572539">
    <w:abstractNumId w:val="39"/>
  </w:num>
  <w:num w:numId="13" w16cid:durableId="93865000">
    <w:abstractNumId w:val="19"/>
  </w:num>
  <w:num w:numId="14" w16cid:durableId="389307215">
    <w:abstractNumId w:val="52"/>
  </w:num>
  <w:num w:numId="15" w16cid:durableId="1095173939">
    <w:abstractNumId w:val="16"/>
  </w:num>
  <w:num w:numId="16" w16cid:durableId="2035383571">
    <w:abstractNumId w:val="54"/>
  </w:num>
  <w:num w:numId="17" w16cid:durableId="1643390433">
    <w:abstractNumId w:val="63"/>
  </w:num>
  <w:num w:numId="18" w16cid:durableId="739333400">
    <w:abstractNumId w:val="72"/>
  </w:num>
  <w:num w:numId="19" w16cid:durableId="107897226">
    <w:abstractNumId w:val="27"/>
  </w:num>
  <w:num w:numId="20" w16cid:durableId="25958681">
    <w:abstractNumId w:val="68"/>
  </w:num>
  <w:num w:numId="21" w16cid:durableId="848451828">
    <w:abstractNumId w:val="46"/>
  </w:num>
  <w:num w:numId="22" w16cid:durableId="1462069625">
    <w:abstractNumId w:val="45"/>
  </w:num>
  <w:num w:numId="23" w16cid:durableId="382024704">
    <w:abstractNumId w:val="34"/>
  </w:num>
  <w:num w:numId="24" w16cid:durableId="1122073722">
    <w:abstractNumId w:val="26"/>
  </w:num>
  <w:num w:numId="25" w16cid:durableId="160170754">
    <w:abstractNumId w:val="60"/>
  </w:num>
  <w:num w:numId="26" w16cid:durableId="987975854">
    <w:abstractNumId w:val="28"/>
  </w:num>
  <w:num w:numId="27" w16cid:durableId="1193614681">
    <w:abstractNumId w:val="47"/>
  </w:num>
  <w:num w:numId="28" w16cid:durableId="1297296325">
    <w:abstractNumId w:val="77"/>
  </w:num>
  <w:num w:numId="29" w16cid:durableId="527446606">
    <w:abstractNumId w:val="73"/>
  </w:num>
  <w:num w:numId="30" w16cid:durableId="775827959">
    <w:abstractNumId w:val="12"/>
  </w:num>
  <w:num w:numId="31" w16cid:durableId="1161460441">
    <w:abstractNumId w:val="67"/>
  </w:num>
  <w:num w:numId="32" w16cid:durableId="1008555551">
    <w:abstractNumId w:val="32"/>
  </w:num>
  <w:num w:numId="33" w16cid:durableId="154299208">
    <w:abstractNumId w:val="43"/>
  </w:num>
  <w:num w:numId="34" w16cid:durableId="1345673335">
    <w:abstractNumId w:val="38"/>
  </w:num>
  <w:num w:numId="35" w16cid:durableId="1369602412">
    <w:abstractNumId w:val="62"/>
  </w:num>
  <w:num w:numId="36" w16cid:durableId="1206873796">
    <w:abstractNumId w:val="20"/>
  </w:num>
  <w:num w:numId="37" w16cid:durableId="1240674054">
    <w:abstractNumId w:val="50"/>
  </w:num>
  <w:num w:numId="38" w16cid:durableId="1417898113">
    <w:abstractNumId w:val="11"/>
  </w:num>
  <w:num w:numId="39" w16cid:durableId="537477357">
    <w:abstractNumId w:val="14"/>
  </w:num>
  <w:num w:numId="40" w16cid:durableId="571234532">
    <w:abstractNumId w:val="55"/>
  </w:num>
  <w:num w:numId="41" w16cid:durableId="105085371">
    <w:abstractNumId w:val="78"/>
  </w:num>
  <w:num w:numId="42" w16cid:durableId="1584802697">
    <w:abstractNumId w:val="51"/>
  </w:num>
  <w:num w:numId="43" w16cid:durableId="1095396683">
    <w:abstractNumId w:val="21"/>
  </w:num>
  <w:num w:numId="44" w16cid:durableId="1646624753">
    <w:abstractNumId w:val="40"/>
  </w:num>
  <w:num w:numId="45" w16cid:durableId="81030294">
    <w:abstractNumId w:val="41"/>
  </w:num>
  <w:num w:numId="46" w16cid:durableId="1616209133">
    <w:abstractNumId w:val="49"/>
  </w:num>
  <w:num w:numId="47" w16cid:durableId="1089501874">
    <w:abstractNumId w:val="76"/>
  </w:num>
  <w:num w:numId="48" w16cid:durableId="372655334">
    <w:abstractNumId w:val="29"/>
  </w:num>
  <w:num w:numId="49" w16cid:durableId="2131052948">
    <w:abstractNumId w:val="71"/>
  </w:num>
  <w:num w:numId="50" w16cid:durableId="887033433">
    <w:abstractNumId w:val="18"/>
  </w:num>
  <w:num w:numId="51" w16cid:durableId="914973239">
    <w:abstractNumId w:val="35"/>
  </w:num>
  <w:num w:numId="52" w16cid:durableId="304048584">
    <w:abstractNumId w:val="61"/>
  </w:num>
  <w:num w:numId="53" w16cid:durableId="2058236452">
    <w:abstractNumId w:val="22"/>
  </w:num>
  <w:num w:numId="54" w16cid:durableId="672144034">
    <w:abstractNumId w:val="37"/>
  </w:num>
  <w:num w:numId="55" w16cid:durableId="1679038376">
    <w:abstractNumId w:val="25"/>
  </w:num>
  <w:num w:numId="56" w16cid:durableId="259414037">
    <w:abstractNumId w:val="36"/>
  </w:num>
  <w:num w:numId="57" w16cid:durableId="1502771536">
    <w:abstractNumId w:val="13"/>
  </w:num>
  <w:num w:numId="58" w16cid:durableId="467238633">
    <w:abstractNumId w:val="33"/>
  </w:num>
  <w:num w:numId="59" w16cid:durableId="209146042">
    <w:abstractNumId w:val="41"/>
  </w:num>
  <w:num w:numId="60" w16cid:durableId="757017947">
    <w:abstractNumId w:val="56"/>
  </w:num>
  <w:num w:numId="61" w16cid:durableId="1526283253">
    <w:abstractNumId w:val="44"/>
  </w:num>
  <w:num w:numId="62" w16cid:durableId="1687706267">
    <w:abstractNumId w:val="74"/>
  </w:num>
  <w:num w:numId="63" w16cid:durableId="279609070">
    <w:abstractNumId w:val="48"/>
  </w:num>
  <w:num w:numId="64" w16cid:durableId="135732632">
    <w:abstractNumId w:val="9"/>
  </w:num>
  <w:num w:numId="65" w16cid:durableId="1890606998">
    <w:abstractNumId w:val="7"/>
  </w:num>
  <w:num w:numId="66" w16cid:durableId="1416249527">
    <w:abstractNumId w:val="6"/>
  </w:num>
  <w:num w:numId="67" w16cid:durableId="780684222">
    <w:abstractNumId w:val="5"/>
  </w:num>
  <w:num w:numId="68" w16cid:durableId="183397646">
    <w:abstractNumId w:val="4"/>
  </w:num>
  <w:num w:numId="69" w16cid:durableId="893547631">
    <w:abstractNumId w:val="8"/>
  </w:num>
  <w:num w:numId="70" w16cid:durableId="1378626198">
    <w:abstractNumId w:val="3"/>
  </w:num>
  <w:num w:numId="71" w16cid:durableId="1228035506">
    <w:abstractNumId w:val="2"/>
  </w:num>
  <w:num w:numId="72" w16cid:durableId="1090546846">
    <w:abstractNumId w:val="1"/>
  </w:num>
  <w:num w:numId="73" w16cid:durableId="967931355">
    <w:abstractNumId w:val="0"/>
  </w:num>
  <w:num w:numId="74" w16cid:durableId="1703045545">
    <w:abstractNumId w:val="66"/>
  </w:num>
  <w:num w:numId="75" w16cid:durableId="752899444">
    <w:abstractNumId w:val="17"/>
  </w:num>
  <w:num w:numId="76" w16cid:durableId="11263895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863974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417090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598660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597462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72903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57166166">
    <w:abstractNumId w:val="57"/>
  </w:num>
  <w:num w:numId="83" w16cid:durableId="1948072989">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AD"/>
    <w:rsid w:val="0000064B"/>
    <w:rsid w:val="00000D5E"/>
    <w:rsid w:val="00001387"/>
    <w:rsid w:val="00001724"/>
    <w:rsid w:val="00002088"/>
    <w:rsid w:val="0000323A"/>
    <w:rsid w:val="00003879"/>
    <w:rsid w:val="00004AB2"/>
    <w:rsid w:val="00005676"/>
    <w:rsid w:val="000060D3"/>
    <w:rsid w:val="00006580"/>
    <w:rsid w:val="00006BAD"/>
    <w:rsid w:val="00006F63"/>
    <w:rsid w:val="00007115"/>
    <w:rsid w:val="00007382"/>
    <w:rsid w:val="00007429"/>
    <w:rsid w:val="00010492"/>
    <w:rsid w:val="00010ACB"/>
    <w:rsid w:val="00010C14"/>
    <w:rsid w:val="00011303"/>
    <w:rsid w:val="000115A1"/>
    <w:rsid w:val="00012AB5"/>
    <w:rsid w:val="0001320B"/>
    <w:rsid w:val="000134CD"/>
    <w:rsid w:val="000140C0"/>
    <w:rsid w:val="00014A25"/>
    <w:rsid w:val="00014DCB"/>
    <w:rsid w:val="00015F1A"/>
    <w:rsid w:val="000160D9"/>
    <w:rsid w:val="000167B7"/>
    <w:rsid w:val="0001693B"/>
    <w:rsid w:val="00016A00"/>
    <w:rsid w:val="0001720C"/>
    <w:rsid w:val="000175A2"/>
    <w:rsid w:val="00020034"/>
    <w:rsid w:val="0002037B"/>
    <w:rsid w:val="0002188E"/>
    <w:rsid w:val="00021FBE"/>
    <w:rsid w:val="000225FE"/>
    <w:rsid w:val="00022B26"/>
    <w:rsid w:val="00022F49"/>
    <w:rsid w:val="0002315F"/>
    <w:rsid w:val="00023177"/>
    <w:rsid w:val="000232BC"/>
    <w:rsid w:val="00024563"/>
    <w:rsid w:val="00024B4A"/>
    <w:rsid w:val="00024D3E"/>
    <w:rsid w:val="00024EB0"/>
    <w:rsid w:val="000250ED"/>
    <w:rsid w:val="000254E6"/>
    <w:rsid w:val="00026275"/>
    <w:rsid w:val="0002683D"/>
    <w:rsid w:val="00026CF9"/>
    <w:rsid w:val="00027570"/>
    <w:rsid w:val="00027686"/>
    <w:rsid w:val="0003038A"/>
    <w:rsid w:val="00030F3D"/>
    <w:rsid w:val="00031B1E"/>
    <w:rsid w:val="00031DD1"/>
    <w:rsid w:val="000327E5"/>
    <w:rsid w:val="00034ED8"/>
    <w:rsid w:val="000352D7"/>
    <w:rsid w:val="0003545D"/>
    <w:rsid w:val="00035FC5"/>
    <w:rsid w:val="000404CA"/>
    <w:rsid w:val="0004063C"/>
    <w:rsid w:val="00041C81"/>
    <w:rsid w:val="0004206A"/>
    <w:rsid w:val="00043320"/>
    <w:rsid w:val="00043672"/>
    <w:rsid w:val="00043753"/>
    <w:rsid w:val="00043820"/>
    <w:rsid w:val="00044356"/>
    <w:rsid w:val="000447AC"/>
    <w:rsid w:val="0004489D"/>
    <w:rsid w:val="00044B62"/>
    <w:rsid w:val="00044E5C"/>
    <w:rsid w:val="00045532"/>
    <w:rsid w:val="000458A3"/>
    <w:rsid w:val="0004692C"/>
    <w:rsid w:val="00046E7E"/>
    <w:rsid w:val="00047171"/>
    <w:rsid w:val="00047613"/>
    <w:rsid w:val="00047990"/>
    <w:rsid w:val="00051C78"/>
    <w:rsid w:val="000523B6"/>
    <w:rsid w:val="00052A3F"/>
    <w:rsid w:val="00052C68"/>
    <w:rsid w:val="00054112"/>
    <w:rsid w:val="0005447D"/>
    <w:rsid w:val="000547AB"/>
    <w:rsid w:val="00054E2A"/>
    <w:rsid w:val="00054ED1"/>
    <w:rsid w:val="000558FD"/>
    <w:rsid w:val="00055CCF"/>
    <w:rsid w:val="000563C2"/>
    <w:rsid w:val="000569CC"/>
    <w:rsid w:val="00056AA2"/>
    <w:rsid w:val="00056B23"/>
    <w:rsid w:val="00057018"/>
    <w:rsid w:val="0005722D"/>
    <w:rsid w:val="0005777E"/>
    <w:rsid w:val="00060435"/>
    <w:rsid w:val="00060C77"/>
    <w:rsid w:val="00061A98"/>
    <w:rsid w:val="00061C94"/>
    <w:rsid w:val="0006243C"/>
    <w:rsid w:val="0006246D"/>
    <w:rsid w:val="00062CCA"/>
    <w:rsid w:val="000630AC"/>
    <w:rsid w:val="00064122"/>
    <w:rsid w:val="00064248"/>
    <w:rsid w:val="0006507D"/>
    <w:rsid w:val="00065826"/>
    <w:rsid w:val="00065FB7"/>
    <w:rsid w:val="00071223"/>
    <w:rsid w:val="00071296"/>
    <w:rsid w:val="00071D9F"/>
    <w:rsid w:val="00072B26"/>
    <w:rsid w:val="00072BF7"/>
    <w:rsid w:val="00073208"/>
    <w:rsid w:val="0007494B"/>
    <w:rsid w:val="000749A4"/>
    <w:rsid w:val="00074DDD"/>
    <w:rsid w:val="00075035"/>
    <w:rsid w:val="000767CC"/>
    <w:rsid w:val="0008009E"/>
    <w:rsid w:val="000809C5"/>
    <w:rsid w:val="000811C5"/>
    <w:rsid w:val="00082ADE"/>
    <w:rsid w:val="00082F4F"/>
    <w:rsid w:val="000831F5"/>
    <w:rsid w:val="00083454"/>
    <w:rsid w:val="00083DFA"/>
    <w:rsid w:val="0008513F"/>
    <w:rsid w:val="000852ED"/>
    <w:rsid w:val="000856AD"/>
    <w:rsid w:val="0008570B"/>
    <w:rsid w:val="00085B4B"/>
    <w:rsid w:val="00085C5E"/>
    <w:rsid w:val="00087780"/>
    <w:rsid w:val="00087F35"/>
    <w:rsid w:val="00091A89"/>
    <w:rsid w:val="00091CB9"/>
    <w:rsid w:val="0009202F"/>
    <w:rsid w:val="00093105"/>
    <w:rsid w:val="000933C0"/>
    <w:rsid w:val="00093AD5"/>
    <w:rsid w:val="0009453A"/>
    <w:rsid w:val="00094911"/>
    <w:rsid w:val="00094D08"/>
    <w:rsid w:val="000952CD"/>
    <w:rsid w:val="0009563E"/>
    <w:rsid w:val="00095ACC"/>
    <w:rsid w:val="00096A44"/>
    <w:rsid w:val="00096B8F"/>
    <w:rsid w:val="00096ED6"/>
    <w:rsid w:val="000979B9"/>
    <w:rsid w:val="000979E6"/>
    <w:rsid w:val="00097C0A"/>
    <w:rsid w:val="000A1219"/>
    <w:rsid w:val="000A161A"/>
    <w:rsid w:val="000A2866"/>
    <w:rsid w:val="000A2A7A"/>
    <w:rsid w:val="000A46D6"/>
    <w:rsid w:val="000A4C0B"/>
    <w:rsid w:val="000A4D68"/>
    <w:rsid w:val="000A588C"/>
    <w:rsid w:val="000A6A2D"/>
    <w:rsid w:val="000A6FA3"/>
    <w:rsid w:val="000A7647"/>
    <w:rsid w:val="000A7A15"/>
    <w:rsid w:val="000A7F0E"/>
    <w:rsid w:val="000B231B"/>
    <w:rsid w:val="000B280B"/>
    <w:rsid w:val="000B2927"/>
    <w:rsid w:val="000B2BFE"/>
    <w:rsid w:val="000B2DCF"/>
    <w:rsid w:val="000B3298"/>
    <w:rsid w:val="000B3EFB"/>
    <w:rsid w:val="000B416F"/>
    <w:rsid w:val="000B45EB"/>
    <w:rsid w:val="000B46F3"/>
    <w:rsid w:val="000B5792"/>
    <w:rsid w:val="000B5DE3"/>
    <w:rsid w:val="000B6454"/>
    <w:rsid w:val="000B74DB"/>
    <w:rsid w:val="000B7A37"/>
    <w:rsid w:val="000C1A98"/>
    <w:rsid w:val="000C3265"/>
    <w:rsid w:val="000C36BE"/>
    <w:rsid w:val="000C3983"/>
    <w:rsid w:val="000C46F8"/>
    <w:rsid w:val="000C4B87"/>
    <w:rsid w:val="000C4EE0"/>
    <w:rsid w:val="000C5C5C"/>
    <w:rsid w:val="000C5C98"/>
    <w:rsid w:val="000C68B9"/>
    <w:rsid w:val="000C6D9D"/>
    <w:rsid w:val="000D0379"/>
    <w:rsid w:val="000D0671"/>
    <w:rsid w:val="000D158F"/>
    <w:rsid w:val="000D1BDA"/>
    <w:rsid w:val="000D2E70"/>
    <w:rsid w:val="000D4047"/>
    <w:rsid w:val="000D43E7"/>
    <w:rsid w:val="000D45A4"/>
    <w:rsid w:val="000E0922"/>
    <w:rsid w:val="000E0ACC"/>
    <w:rsid w:val="000E0BFB"/>
    <w:rsid w:val="000E1196"/>
    <w:rsid w:val="000E133F"/>
    <w:rsid w:val="000E1C62"/>
    <w:rsid w:val="000E2637"/>
    <w:rsid w:val="000E2C12"/>
    <w:rsid w:val="000E2D9C"/>
    <w:rsid w:val="000E383D"/>
    <w:rsid w:val="000E3E6E"/>
    <w:rsid w:val="000E3F53"/>
    <w:rsid w:val="000E4AC0"/>
    <w:rsid w:val="000E6E80"/>
    <w:rsid w:val="000E7096"/>
    <w:rsid w:val="000E7995"/>
    <w:rsid w:val="000F0223"/>
    <w:rsid w:val="000F0692"/>
    <w:rsid w:val="000F0862"/>
    <w:rsid w:val="000F15D2"/>
    <w:rsid w:val="000F1747"/>
    <w:rsid w:val="000F2749"/>
    <w:rsid w:val="000F2AAE"/>
    <w:rsid w:val="000F2F42"/>
    <w:rsid w:val="000F36DE"/>
    <w:rsid w:val="000F38B3"/>
    <w:rsid w:val="000F3D33"/>
    <w:rsid w:val="000F43F5"/>
    <w:rsid w:val="000F517E"/>
    <w:rsid w:val="000F5CA8"/>
    <w:rsid w:val="000F6FFD"/>
    <w:rsid w:val="000F7D5C"/>
    <w:rsid w:val="000F7F62"/>
    <w:rsid w:val="000F7F72"/>
    <w:rsid w:val="00100983"/>
    <w:rsid w:val="00100E6B"/>
    <w:rsid w:val="00101241"/>
    <w:rsid w:val="0010429E"/>
    <w:rsid w:val="00105514"/>
    <w:rsid w:val="001060FD"/>
    <w:rsid w:val="001067AF"/>
    <w:rsid w:val="00107DAE"/>
    <w:rsid w:val="001110A4"/>
    <w:rsid w:val="00111BC4"/>
    <w:rsid w:val="00111C8B"/>
    <w:rsid w:val="001120DC"/>
    <w:rsid w:val="001125C7"/>
    <w:rsid w:val="00112B17"/>
    <w:rsid w:val="001138DB"/>
    <w:rsid w:val="00113C5A"/>
    <w:rsid w:val="0011454F"/>
    <w:rsid w:val="001148C9"/>
    <w:rsid w:val="00116B95"/>
    <w:rsid w:val="00116C4D"/>
    <w:rsid w:val="0011705B"/>
    <w:rsid w:val="00117A6A"/>
    <w:rsid w:val="001207F1"/>
    <w:rsid w:val="00120964"/>
    <w:rsid w:val="00123ADE"/>
    <w:rsid w:val="00123FB2"/>
    <w:rsid w:val="0012460B"/>
    <w:rsid w:val="00124631"/>
    <w:rsid w:val="00124FC2"/>
    <w:rsid w:val="001256E4"/>
    <w:rsid w:val="00126F90"/>
    <w:rsid w:val="0012789D"/>
    <w:rsid w:val="00127D10"/>
    <w:rsid w:val="00130731"/>
    <w:rsid w:val="00130A1C"/>
    <w:rsid w:val="00130E05"/>
    <w:rsid w:val="00131DD8"/>
    <w:rsid w:val="00132897"/>
    <w:rsid w:val="00133753"/>
    <w:rsid w:val="00133A11"/>
    <w:rsid w:val="00133A7A"/>
    <w:rsid w:val="00134261"/>
    <w:rsid w:val="00134279"/>
    <w:rsid w:val="00134B31"/>
    <w:rsid w:val="00134E38"/>
    <w:rsid w:val="00135145"/>
    <w:rsid w:val="00135C41"/>
    <w:rsid w:val="00135DEC"/>
    <w:rsid w:val="00136127"/>
    <w:rsid w:val="0013631F"/>
    <w:rsid w:val="0013712A"/>
    <w:rsid w:val="00137366"/>
    <w:rsid w:val="001373A2"/>
    <w:rsid w:val="00137896"/>
    <w:rsid w:val="00137945"/>
    <w:rsid w:val="001403A0"/>
    <w:rsid w:val="001405D4"/>
    <w:rsid w:val="00141872"/>
    <w:rsid w:val="0014375F"/>
    <w:rsid w:val="00143851"/>
    <w:rsid w:val="00143D5D"/>
    <w:rsid w:val="00144216"/>
    <w:rsid w:val="001442D6"/>
    <w:rsid w:val="00144366"/>
    <w:rsid w:val="00144CDD"/>
    <w:rsid w:val="00145786"/>
    <w:rsid w:val="00146970"/>
    <w:rsid w:val="0014706F"/>
    <w:rsid w:val="001476DE"/>
    <w:rsid w:val="00147F38"/>
    <w:rsid w:val="00150A53"/>
    <w:rsid w:val="001510B4"/>
    <w:rsid w:val="0015137F"/>
    <w:rsid w:val="00151C8F"/>
    <w:rsid w:val="00152686"/>
    <w:rsid w:val="0015376A"/>
    <w:rsid w:val="00153CF8"/>
    <w:rsid w:val="00154949"/>
    <w:rsid w:val="00155005"/>
    <w:rsid w:val="0015569F"/>
    <w:rsid w:val="00156A96"/>
    <w:rsid w:val="00156F8A"/>
    <w:rsid w:val="001570C6"/>
    <w:rsid w:val="00160D74"/>
    <w:rsid w:val="00161370"/>
    <w:rsid w:val="00161371"/>
    <w:rsid w:val="00162C9C"/>
    <w:rsid w:val="001634F4"/>
    <w:rsid w:val="00163BB5"/>
    <w:rsid w:val="00163FE7"/>
    <w:rsid w:val="00164691"/>
    <w:rsid w:val="0016489A"/>
    <w:rsid w:val="00164A90"/>
    <w:rsid w:val="00164F10"/>
    <w:rsid w:val="00165B4D"/>
    <w:rsid w:val="00165D8E"/>
    <w:rsid w:val="00165F28"/>
    <w:rsid w:val="0016603A"/>
    <w:rsid w:val="001666AC"/>
    <w:rsid w:val="00166A6B"/>
    <w:rsid w:val="00166CFD"/>
    <w:rsid w:val="00166F03"/>
    <w:rsid w:val="00170FBA"/>
    <w:rsid w:val="00171076"/>
    <w:rsid w:val="001710AD"/>
    <w:rsid w:val="00171803"/>
    <w:rsid w:val="00172340"/>
    <w:rsid w:val="00172788"/>
    <w:rsid w:val="00173D15"/>
    <w:rsid w:val="00174E0A"/>
    <w:rsid w:val="00176254"/>
    <w:rsid w:val="00177011"/>
    <w:rsid w:val="00177047"/>
    <w:rsid w:val="00177150"/>
    <w:rsid w:val="00177994"/>
    <w:rsid w:val="00177A74"/>
    <w:rsid w:val="00180022"/>
    <w:rsid w:val="0018147E"/>
    <w:rsid w:val="0018229C"/>
    <w:rsid w:val="00182D30"/>
    <w:rsid w:val="00183670"/>
    <w:rsid w:val="00184109"/>
    <w:rsid w:val="001848D0"/>
    <w:rsid w:val="001849F7"/>
    <w:rsid w:val="00184AFD"/>
    <w:rsid w:val="00184C5F"/>
    <w:rsid w:val="0018642B"/>
    <w:rsid w:val="00186F14"/>
    <w:rsid w:val="001900B1"/>
    <w:rsid w:val="00190107"/>
    <w:rsid w:val="001903D0"/>
    <w:rsid w:val="00190C2A"/>
    <w:rsid w:val="00191C60"/>
    <w:rsid w:val="00192F65"/>
    <w:rsid w:val="00193306"/>
    <w:rsid w:val="00193971"/>
    <w:rsid w:val="001944D4"/>
    <w:rsid w:val="00194B5A"/>
    <w:rsid w:val="00195398"/>
    <w:rsid w:val="00195442"/>
    <w:rsid w:val="00195544"/>
    <w:rsid w:val="001960BF"/>
    <w:rsid w:val="00196462"/>
    <w:rsid w:val="001965B4"/>
    <w:rsid w:val="001968D3"/>
    <w:rsid w:val="001973A8"/>
    <w:rsid w:val="00197ACA"/>
    <w:rsid w:val="00197C9B"/>
    <w:rsid w:val="001A0E49"/>
    <w:rsid w:val="001A0F13"/>
    <w:rsid w:val="001A16BC"/>
    <w:rsid w:val="001A2704"/>
    <w:rsid w:val="001A27CB"/>
    <w:rsid w:val="001A33D8"/>
    <w:rsid w:val="001A3DC1"/>
    <w:rsid w:val="001A41B6"/>
    <w:rsid w:val="001A458D"/>
    <w:rsid w:val="001A467A"/>
    <w:rsid w:val="001A49AC"/>
    <w:rsid w:val="001A4BEA"/>
    <w:rsid w:val="001A5B74"/>
    <w:rsid w:val="001A6518"/>
    <w:rsid w:val="001A7EDB"/>
    <w:rsid w:val="001B4457"/>
    <w:rsid w:val="001B5034"/>
    <w:rsid w:val="001B57F6"/>
    <w:rsid w:val="001C0528"/>
    <w:rsid w:val="001C0A6B"/>
    <w:rsid w:val="001C1EA5"/>
    <w:rsid w:val="001C20AD"/>
    <w:rsid w:val="001C3131"/>
    <w:rsid w:val="001C36D7"/>
    <w:rsid w:val="001C3F9E"/>
    <w:rsid w:val="001C59A8"/>
    <w:rsid w:val="001C633F"/>
    <w:rsid w:val="001C6629"/>
    <w:rsid w:val="001C7F3D"/>
    <w:rsid w:val="001D0084"/>
    <w:rsid w:val="001D37C9"/>
    <w:rsid w:val="001D4011"/>
    <w:rsid w:val="001D5BC3"/>
    <w:rsid w:val="001D5E9B"/>
    <w:rsid w:val="001D5F32"/>
    <w:rsid w:val="001D614D"/>
    <w:rsid w:val="001D68C4"/>
    <w:rsid w:val="001D7D1A"/>
    <w:rsid w:val="001E0B2F"/>
    <w:rsid w:val="001E0E90"/>
    <w:rsid w:val="001E0FA3"/>
    <w:rsid w:val="001E17D7"/>
    <w:rsid w:val="001E2113"/>
    <w:rsid w:val="001E221A"/>
    <w:rsid w:val="001E32AA"/>
    <w:rsid w:val="001E3D35"/>
    <w:rsid w:val="001E44BE"/>
    <w:rsid w:val="001E452D"/>
    <w:rsid w:val="001E4B85"/>
    <w:rsid w:val="001E6368"/>
    <w:rsid w:val="001E6DF3"/>
    <w:rsid w:val="001E7BBB"/>
    <w:rsid w:val="001F08AD"/>
    <w:rsid w:val="001F13D9"/>
    <w:rsid w:val="001F1791"/>
    <w:rsid w:val="001F22F9"/>
    <w:rsid w:val="001F3FEC"/>
    <w:rsid w:val="001F434C"/>
    <w:rsid w:val="001F44D5"/>
    <w:rsid w:val="001F62EE"/>
    <w:rsid w:val="001F64F3"/>
    <w:rsid w:val="001F67D8"/>
    <w:rsid w:val="001F6956"/>
    <w:rsid w:val="001F7816"/>
    <w:rsid w:val="002009E4"/>
    <w:rsid w:val="00201575"/>
    <w:rsid w:val="0020317C"/>
    <w:rsid w:val="00203B87"/>
    <w:rsid w:val="002040AC"/>
    <w:rsid w:val="00204568"/>
    <w:rsid w:val="00204C0A"/>
    <w:rsid w:val="00205701"/>
    <w:rsid w:val="00206333"/>
    <w:rsid w:val="0020634F"/>
    <w:rsid w:val="0020674E"/>
    <w:rsid w:val="002067B5"/>
    <w:rsid w:val="002068C6"/>
    <w:rsid w:val="00206C9A"/>
    <w:rsid w:val="0021010E"/>
    <w:rsid w:val="002102E5"/>
    <w:rsid w:val="00210523"/>
    <w:rsid w:val="00210A3F"/>
    <w:rsid w:val="00212F48"/>
    <w:rsid w:val="002145F3"/>
    <w:rsid w:val="0021530D"/>
    <w:rsid w:val="00215E7F"/>
    <w:rsid w:val="0021669D"/>
    <w:rsid w:val="002169F7"/>
    <w:rsid w:val="00216C46"/>
    <w:rsid w:val="00216CC1"/>
    <w:rsid w:val="002172F2"/>
    <w:rsid w:val="00217CCA"/>
    <w:rsid w:val="00220AA0"/>
    <w:rsid w:val="00220C13"/>
    <w:rsid w:val="002214C5"/>
    <w:rsid w:val="0022254A"/>
    <w:rsid w:val="00222EAE"/>
    <w:rsid w:val="00222F3B"/>
    <w:rsid w:val="002233E4"/>
    <w:rsid w:val="00223BA5"/>
    <w:rsid w:val="0022456F"/>
    <w:rsid w:val="002250B2"/>
    <w:rsid w:val="002256D6"/>
    <w:rsid w:val="00225CF7"/>
    <w:rsid w:val="00225E85"/>
    <w:rsid w:val="002262EB"/>
    <w:rsid w:val="00227478"/>
    <w:rsid w:val="002277DF"/>
    <w:rsid w:val="00227E31"/>
    <w:rsid w:val="0023054E"/>
    <w:rsid w:val="00232324"/>
    <w:rsid w:val="00232707"/>
    <w:rsid w:val="00233755"/>
    <w:rsid w:val="0023388A"/>
    <w:rsid w:val="002340DB"/>
    <w:rsid w:val="0023437F"/>
    <w:rsid w:val="00234643"/>
    <w:rsid w:val="00234DC7"/>
    <w:rsid w:val="00236290"/>
    <w:rsid w:val="0023649A"/>
    <w:rsid w:val="00237770"/>
    <w:rsid w:val="00237971"/>
    <w:rsid w:val="00237C99"/>
    <w:rsid w:val="00240297"/>
    <w:rsid w:val="00240475"/>
    <w:rsid w:val="00240535"/>
    <w:rsid w:val="00240CBE"/>
    <w:rsid w:val="00241245"/>
    <w:rsid w:val="00241A1C"/>
    <w:rsid w:val="0024268B"/>
    <w:rsid w:val="002429DA"/>
    <w:rsid w:val="002432BD"/>
    <w:rsid w:val="00243304"/>
    <w:rsid w:val="00243354"/>
    <w:rsid w:val="00243B2A"/>
    <w:rsid w:val="00243BBF"/>
    <w:rsid w:val="0024458A"/>
    <w:rsid w:val="00244904"/>
    <w:rsid w:val="00245878"/>
    <w:rsid w:val="00245D45"/>
    <w:rsid w:val="00246626"/>
    <w:rsid w:val="002466D0"/>
    <w:rsid w:val="0024734E"/>
    <w:rsid w:val="00247828"/>
    <w:rsid w:val="002479E6"/>
    <w:rsid w:val="00247FE6"/>
    <w:rsid w:val="00250120"/>
    <w:rsid w:val="00250264"/>
    <w:rsid w:val="00250312"/>
    <w:rsid w:val="00251CF8"/>
    <w:rsid w:val="00252742"/>
    <w:rsid w:val="00252BEF"/>
    <w:rsid w:val="00254BD0"/>
    <w:rsid w:val="002561EE"/>
    <w:rsid w:val="0025624F"/>
    <w:rsid w:val="00256407"/>
    <w:rsid w:val="002576D2"/>
    <w:rsid w:val="00260099"/>
    <w:rsid w:val="0026009D"/>
    <w:rsid w:val="0026025B"/>
    <w:rsid w:val="00261BA8"/>
    <w:rsid w:val="0026259E"/>
    <w:rsid w:val="00263815"/>
    <w:rsid w:val="00263935"/>
    <w:rsid w:val="002653A4"/>
    <w:rsid w:val="00267899"/>
    <w:rsid w:val="00270B0F"/>
    <w:rsid w:val="00270B56"/>
    <w:rsid w:val="0027222D"/>
    <w:rsid w:val="00272F0C"/>
    <w:rsid w:val="00273F94"/>
    <w:rsid w:val="00274D75"/>
    <w:rsid w:val="00274E12"/>
    <w:rsid w:val="002751E9"/>
    <w:rsid w:val="00275C8C"/>
    <w:rsid w:val="00276057"/>
    <w:rsid w:val="00276523"/>
    <w:rsid w:val="0027664C"/>
    <w:rsid w:val="00277577"/>
    <w:rsid w:val="00277637"/>
    <w:rsid w:val="00277689"/>
    <w:rsid w:val="00277EA0"/>
    <w:rsid w:val="002805CD"/>
    <w:rsid w:val="00280FBE"/>
    <w:rsid w:val="00282DB6"/>
    <w:rsid w:val="002836DD"/>
    <w:rsid w:val="002840E6"/>
    <w:rsid w:val="00284469"/>
    <w:rsid w:val="0028599D"/>
    <w:rsid w:val="00286A3E"/>
    <w:rsid w:val="00287049"/>
    <w:rsid w:val="002871FE"/>
    <w:rsid w:val="002873CE"/>
    <w:rsid w:val="00287677"/>
    <w:rsid w:val="002915EC"/>
    <w:rsid w:val="00292563"/>
    <w:rsid w:val="00292A9C"/>
    <w:rsid w:val="002937D9"/>
    <w:rsid w:val="002938A9"/>
    <w:rsid w:val="00296324"/>
    <w:rsid w:val="00296657"/>
    <w:rsid w:val="00296659"/>
    <w:rsid w:val="0029793B"/>
    <w:rsid w:val="002A0288"/>
    <w:rsid w:val="002A058F"/>
    <w:rsid w:val="002A25A2"/>
    <w:rsid w:val="002A2894"/>
    <w:rsid w:val="002A38DD"/>
    <w:rsid w:val="002A4D35"/>
    <w:rsid w:val="002A565B"/>
    <w:rsid w:val="002A5CE3"/>
    <w:rsid w:val="002A5D2A"/>
    <w:rsid w:val="002A5D2E"/>
    <w:rsid w:val="002A5E91"/>
    <w:rsid w:val="002A6353"/>
    <w:rsid w:val="002A659F"/>
    <w:rsid w:val="002A6B6A"/>
    <w:rsid w:val="002A6B92"/>
    <w:rsid w:val="002A6DC3"/>
    <w:rsid w:val="002A7C16"/>
    <w:rsid w:val="002B03FB"/>
    <w:rsid w:val="002B0E43"/>
    <w:rsid w:val="002B1134"/>
    <w:rsid w:val="002B1295"/>
    <w:rsid w:val="002B14E8"/>
    <w:rsid w:val="002B1C5C"/>
    <w:rsid w:val="002B1E80"/>
    <w:rsid w:val="002B299E"/>
    <w:rsid w:val="002B2ED7"/>
    <w:rsid w:val="002B301D"/>
    <w:rsid w:val="002B429A"/>
    <w:rsid w:val="002B4AE9"/>
    <w:rsid w:val="002B4B8C"/>
    <w:rsid w:val="002B6040"/>
    <w:rsid w:val="002B6154"/>
    <w:rsid w:val="002B6CF1"/>
    <w:rsid w:val="002B6D83"/>
    <w:rsid w:val="002B72DF"/>
    <w:rsid w:val="002B7421"/>
    <w:rsid w:val="002C0E3A"/>
    <w:rsid w:val="002C163C"/>
    <w:rsid w:val="002C1A34"/>
    <w:rsid w:val="002C210D"/>
    <w:rsid w:val="002C39FB"/>
    <w:rsid w:val="002C3B65"/>
    <w:rsid w:val="002C3DDC"/>
    <w:rsid w:val="002C43F2"/>
    <w:rsid w:val="002C52A5"/>
    <w:rsid w:val="002C5BB8"/>
    <w:rsid w:val="002C5EFC"/>
    <w:rsid w:val="002C5FB6"/>
    <w:rsid w:val="002C6469"/>
    <w:rsid w:val="002C711B"/>
    <w:rsid w:val="002C7181"/>
    <w:rsid w:val="002C7F85"/>
    <w:rsid w:val="002D14EF"/>
    <w:rsid w:val="002D173F"/>
    <w:rsid w:val="002D1D99"/>
    <w:rsid w:val="002D2949"/>
    <w:rsid w:val="002D383C"/>
    <w:rsid w:val="002D3C91"/>
    <w:rsid w:val="002D4A56"/>
    <w:rsid w:val="002D5764"/>
    <w:rsid w:val="002D68B1"/>
    <w:rsid w:val="002D7098"/>
    <w:rsid w:val="002D7303"/>
    <w:rsid w:val="002D7EAA"/>
    <w:rsid w:val="002E00BB"/>
    <w:rsid w:val="002E05C0"/>
    <w:rsid w:val="002E0DDB"/>
    <w:rsid w:val="002E0F9A"/>
    <w:rsid w:val="002E11CB"/>
    <w:rsid w:val="002E1FF9"/>
    <w:rsid w:val="002E2CEE"/>
    <w:rsid w:val="002E2FAC"/>
    <w:rsid w:val="002E2FEF"/>
    <w:rsid w:val="002E3F03"/>
    <w:rsid w:val="002E43A4"/>
    <w:rsid w:val="002E51DC"/>
    <w:rsid w:val="002E53CE"/>
    <w:rsid w:val="002E5E09"/>
    <w:rsid w:val="002E5E1E"/>
    <w:rsid w:val="002E613E"/>
    <w:rsid w:val="002E6961"/>
    <w:rsid w:val="002E6BA3"/>
    <w:rsid w:val="002E7AA0"/>
    <w:rsid w:val="002E7C33"/>
    <w:rsid w:val="002E7CD5"/>
    <w:rsid w:val="002F09C2"/>
    <w:rsid w:val="002F1CB2"/>
    <w:rsid w:val="002F3908"/>
    <w:rsid w:val="002F41FB"/>
    <w:rsid w:val="002F445A"/>
    <w:rsid w:val="002F4488"/>
    <w:rsid w:val="002F62B4"/>
    <w:rsid w:val="002F695A"/>
    <w:rsid w:val="002F7187"/>
    <w:rsid w:val="002F787C"/>
    <w:rsid w:val="002F7E15"/>
    <w:rsid w:val="002F7E5B"/>
    <w:rsid w:val="003001B9"/>
    <w:rsid w:val="00301F16"/>
    <w:rsid w:val="00302790"/>
    <w:rsid w:val="00302DFD"/>
    <w:rsid w:val="00302F00"/>
    <w:rsid w:val="003032F0"/>
    <w:rsid w:val="003035AD"/>
    <w:rsid w:val="003035C6"/>
    <w:rsid w:val="0030420B"/>
    <w:rsid w:val="00304EBF"/>
    <w:rsid w:val="003063C7"/>
    <w:rsid w:val="0030677A"/>
    <w:rsid w:val="003101C4"/>
    <w:rsid w:val="0031026D"/>
    <w:rsid w:val="0031062A"/>
    <w:rsid w:val="00311C5E"/>
    <w:rsid w:val="00311E19"/>
    <w:rsid w:val="00313171"/>
    <w:rsid w:val="003134DC"/>
    <w:rsid w:val="00314286"/>
    <w:rsid w:val="003147DF"/>
    <w:rsid w:val="00314969"/>
    <w:rsid w:val="00314A95"/>
    <w:rsid w:val="0031602C"/>
    <w:rsid w:val="00316238"/>
    <w:rsid w:val="003171C0"/>
    <w:rsid w:val="00317736"/>
    <w:rsid w:val="00317C0E"/>
    <w:rsid w:val="00317FDA"/>
    <w:rsid w:val="00321CBC"/>
    <w:rsid w:val="00324065"/>
    <w:rsid w:val="003245E0"/>
    <w:rsid w:val="00324705"/>
    <w:rsid w:val="00324BDE"/>
    <w:rsid w:val="00325685"/>
    <w:rsid w:val="00325877"/>
    <w:rsid w:val="00325C36"/>
    <w:rsid w:val="00325DF6"/>
    <w:rsid w:val="00326CCD"/>
    <w:rsid w:val="00327AB9"/>
    <w:rsid w:val="00327B45"/>
    <w:rsid w:val="00330FD2"/>
    <w:rsid w:val="00331036"/>
    <w:rsid w:val="00331942"/>
    <w:rsid w:val="0033274E"/>
    <w:rsid w:val="003330A8"/>
    <w:rsid w:val="003334D7"/>
    <w:rsid w:val="003336A3"/>
    <w:rsid w:val="00333AC7"/>
    <w:rsid w:val="00333BD3"/>
    <w:rsid w:val="003340CC"/>
    <w:rsid w:val="0033458C"/>
    <w:rsid w:val="00335092"/>
    <w:rsid w:val="0033641C"/>
    <w:rsid w:val="00336774"/>
    <w:rsid w:val="003374E3"/>
    <w:rsid w:val="00337688"/>
    <w:rsid w:val="00337963"/>
    <w:rsid w:val="0034024F"/>
    <w:rsid w:val="003409FF"/>
    <w:rsid w:val="00341878"/>
    <w:rsid w:val="00343351"/>
    <w:rsid w:val="00343C1C"/>
    <w:rsid w:val="00343F5A"/>
    <w:rsid w:val="00344077"/>
    <w:rsid w:val="00345306"/>
    <w:rsid w:val="0034545A"/>
    <w:rsid w:val="003456C9"/>
    <w:rsid w:val="00345752"/>
    <w:rsid w:val="00346230"/>
    <w:rsid w:val="00346B75"/>
    <w:rsid w:val="00346FCD"/>
    <w:rsid w:val="00347918"/>
    <w:rsid w:val="00350492"/>
    <w:rsid w:val="00350CC2"/>
    <w:rsid w:val="00350DCD"/>
    <w:rsid w:val="0035101A"/>
    <w:rsid w:val="003518DC"/>
    <w:rsid w:val="00353121"/>
    <w:rsid w:val="003533FB"/>
    <w:rsid w:val="00353A74"/>
    <w:rsid w:val="00355068"/>
    <w:rsid w:val="003551C6"/>
    <w:rsid w:val="00355375"/>
    <w:rsid w:val="00355E16"/>
    <w:rsid w:val="00356137"/>
    <w:rsid w:val="003569C7"/>
    <w:rsid w:val="00357876"/>
    <w:rsid w:val="00357F9C"/>
    <w:rsid w:val="00361071"/>
    <w:rsid w:val="0036192D"/>
    <w:rsid w:val="00362631"/>
    <w:rsid w:val="00363466"/>
    <w:rsid w:val="003635DA"/>
    <w:rsid w:val="00363C71"/>
    <w:rsid w:val="00364181"/>
    <w:rsid w:val="0036599C"/>
    <w:rsid w:val="00365CA7"/>
    <w:rsid w:val="003661A4"/>
    <w:rsid w:val="00366D7F"/>
    <w:rsid w:val="00366E6F"/>
    <w:rsid w:val="003673BB"/>
    <w:rsid w:val="0036750C"/>
    <w:rsid w:val="00367639"/>
    <w:rsid w:val="00367904"/>
    <w:rsid w:val="00370C7A"/>
    <w:rsid w:val="0037141B"/>
    <w:rsid w:val="00371649"/>
    <w:rsid w:val="00371EA0"/>
    <w:rsid w:val="0037261E"/>
    <w:rsid w:val="003734F0"/>
    <w:rsid w:val="0037358B"/>
    <w:rsid w:val="00373FD4"/>
    <w:rsid w:val="00374319"/>
    <w:rsid w:val="00374624"/>
    <w:rsid w:val="00374E9A"/>
    <w:rsid w:val="0037520D"/>
    <w:rsid w:val="00375B46"/>
    <w:rsid w:val="00376B62"/>
    <w:rsid w:val="003778A0"/>
    <w:rsid w:val="00377A0C"/>
    <w:rsid w:val="003810D7"/>
    <w:rsid w:val="0038120D"/>
    <w:rsid w:val="003822DB"/>
    <w:rsid w:val="00382D39"/>
    <w:rsid w:val="003833ED"/>
    <w:rsid w:val="00385897"/>
    <w:rsid w:val="00385D44"/>
    <w:rsid w:val="0038666C"/>
    <w:rsid w:val="00386A4E"/>
    <w:rsid w:val="00387581"/>
    <w:rsid w:val="003879AD"/>
    <w:rsid w:val="003908AB"/>
    <w:rsid w:val="00390C2A"/>
    <w:rsid w:val="00391CCC"/>
    <w:rsid w:val="003929BA"/>
    <w:rsid w:val="00393ABF"/>
    <w:rsid w:val="00394142"/>
    <w:rsid w:val="00396593"/>
    <w:rsid w:val="00397CA7"/>
    <w:rsid w:val="00397ED2"/>
    <w:rsid w:val="003A0AF9"/>
    <w:rsid w:val="003A1633"/>
    <w:rsid w:val="003A2179"/>
    <w:rsid w:val="003A3836"/>
    <w:rsid w:val="003A3DAC"/>
    <w:rsid w:val="003A4591"/>
    <w:rsid w:val="003A573C"/>
    <w:rsid w:val="003A57F7"/>
    <w:rsid w:val="003A5EED"/>
    <w:rsid w:val="003A6E2A"/>
    <w:rsid w:val="003A78D3"/>
    <w:rsid w:val="003A7922"/>
    <w:rsid w:val="003A7F5A"/>
    <w:rsid w:val="003B0B20"/>
    <w:rsid w:val="003B106B"/>
    <w:rsid w:val="003B2413"/>
    <w:rsid w:val="003B264B"/>
    <w:rsid w:val="003B2D5E"/>
    <w:rsid w:val="003B2F37"/>
    <w:rsid w:val="003B370D"/>
    <w:rsid w:val="003B3716"/>
    <w:rsid w:val="003B3F7B"/>
    <w:rsid w:val="003B4FCC"/>
    <w:rsid w:val="003B5205"/>
    <w:rsid w:val="003B5236"/>
    <w:rsid w:val="003B541F"/>
    <w:rsid w:val="003B5E43"/>
    <w:rsid w:val="003B615B"/>
    <w:rsid w:val="003B6373"/>
    <w:rsid w:val="003B662F"/>
    <w:rsid w:val="003B6EB9"/>
    <w:rsid w:val="003B71AC"/>
    <w:rsid w:val="003B73DB"/>
    <w:rsid w:val="003B7807"/>
    <w:rsid w:val="003C043B"/>
    <w:rsid w:val="003C0B79"/>
    <w:rsid w:val="003C0F5D"/>
    <w:rsid w:val="003C2DDD"/>
    <w:rsid w:val="003C3996"/>
    <w:rsid w:val="003C3B06"/>
    <w:rsid w:val="003C3B68"/>
    <w:rsid w:val="003C429E"/>
    <w:rsid w:val="003C44F0"/>
    <w:rsid w:val="003C4DB4"/>
    <w:rsid w:val="003C5C91"/>
    <w:rsid w:val="003D00D3"/>
    <w:rsid w:val="003D0918"/>
    <w:rsid w:val="003D0A43"/>
    <w:rsid w:val="003D10D8"/>
    <w:rsid w:val="003D16A5"/>
    <w:rsid w:val="003D2615"/>
    <w:rsid w:val="003D2A7A"/>
    <w:rsid w:val="003D41BD"/>
    <w:rsid w:val="003D4388"/>
    <w:rsid w:val="003D4715"/>
    <w:rsid w:val="003D49EA"/>
    <w:rsid w:val="003D5032"/>
    <w:rsid w:val="003D50BC"/>
    <w:rsid w:val="003D7C69"/>
    <w:rsid w:val="003E0020"/>
    <w:rsid w:val="003E04F9"/>
    <w:rsid w:val="003E10D0"/>
    <w:rsid w:val="003E175D"/>
    <w:rsid w:val="003E1CCA"/>
    <w:rsid w:val="003E21C8"/>
    <w:rsid w:val="003E2B40"/>
    <w:rsid w:val="003E2C68"/>
    <w:rsid w:val="003E33E0"/>
    <w:rsid w:val="003E39A4"/>
    <w:rsid w:val="003E3C28"/>
    <w:rsid w:val="003E4212"/>
    <w:rsid w:val="003E5622"/>
    <w:rsid w:val="003E5B96"/>
    <w:rsid w:val="003E695D"/>
    <w:rsid w:val="003E7B8B"/>
    <w:rsid w:val="003E7C30"/>
    <w:rsid w:val="003F0755"/>
    <w:rsid w:val="003F1A2A"/>
    <w:rsid w:val="003F1CEA"/>
    <w:rsid w:val="003F2639"/>
    <w:rsid w:val="003F2E55"/>
    <w:rsid w:val="003F33CE"/>
    <w:rsid w:val="003F3781"/>
    <w:rsid w:val="003F3F0B"/>
    <w:rsid w:val="003F4FC3"/>
    <w:rsid w:val="003F54FB"/>
    <w:rsid w:val="003F556B"/>
    <w:rsid w:val="003F5D4F"/>
    <w:rsid w:val="003F6742"/>
    <w:rsid w:val="003F7597"/>
    <w:rsid w:val="00400BAE"/>
    <w:rsid w:val="00400E0F"/>
    <w:rsid w:val="00402C6B"/>
    <w:rsid w:val="004030AF"/>
    <w:rsid w:val="004033E8"/>
    <w:rsid w:val="004045B0"/>
    <w:rsid w:val="00404E0F"/>
    <w:rsid w:val="004056DD"/>
    <w:rsid w:val="0040597D"/>
    <w:rsid w:val="004078CF"/>
    <w:rsid w:val="00410293"/>
    <w:rsid w:val="004108B5"/>
    <w:rsid w:val="0041096F"/>
    <w:rsid w:val="00410B59"/>
    <w:rsid w:val="00412490"/>
    <w:rsid w:val="004128E8"/>
    <w:rsid w:val="00412B27"/>
    <w:rsid w:val="0041310A"/>
    <w:rsid w:val="0041313A"/>
    <w:rsid w:val="00413F8E"/>
    <w:rsid w:val="00414048"/>
    <w:rsid w:val="004149DA"/>
    <w:rsid w:val="00414E53"/>
    <w:rsid w:val="00414ED0"/>
    <w:rsid w:val="0041697B"/>
    <w:rsid w:val="004170CE"/>
    <w:rsid w:val="004172D5"/>
    <w:rsid w:val="00417515"/>
    <w:rsid w:val="00417E5D"/>
    <w:rsid w:val="00420CB8"/>
    <w:rsid w:val="00422930"/>
    <w:rsid w:val="00424102"/>
    <w:rsid w:val="00424191"/>
    <w:rsid w:val="004243C3"/>
    <w:rsid w:val="00424FF0"/>
    <w:rsid w:val="0042612B"/>
    <w:rsid w:val="004263B0"/>
    <w:rsid w:val="0042643E"/>
    <w:rsid w:val="004268CD"/>
    <w:rsid w:val="00426E8D"/>
    <w:rsid w:val="00427850"/>
    <w:rsid w:val="00427A75"/>
    <w:rsid w:val="00430176"/>
    <w:rsid w:val="00430B9A"/>
    <w:rsid w:val="00431738"/>
    <w:rsid w:val="00431C23"/>
    <w:rsid w:val="00431EBC"/>
    <w:rsid w:val="004321DB"/>
    <w:rsid w:val="00433934"/>
    <w:rsid w:val="00433C33"/>
    <w:rsid w:val="00433CF3"/>
    <w:rsid w:val="00433D94"/>
    <w:rsid w:val="00434225"/>
    <w:rsid w:val="0043423F"/>
    <w:rsid w:val="004356EA"/>
    <w:rsid w:val="004357E6"/>
    <w:rsid w:val="004362A3"/>
    <w:rsid w:val="004363C4"/>
    <w:rsid w:val="00436D9F"/>
    <w:rsid w:val="00437637"/>
    <w:rsid w:val="00440082"/>
    <w:rsid w:val="004404BA"/>
    <w:rsid w:val="004408F1"/>
    <w:rsid w:val="00441016"/>
    <w:rsid w:val="004413D0"/>
    <w:rsid w:val="004420DB"/>
    <w:rsid w:val="00442621"/>
    <w:rsid w:val="00442A15"/>
    <w:rsid w:val="00442D40"/>
    <w:rsid w:val="00442F62"/>
    <w:rsid w:val="00443012"/>
    <w:rsid w:val="004434BE"/>
    <w:rsid w:val="0044401C"/>
    <w:rsid w:val="004443CD"/>
    <w:rsid w:val="00444491"/>
    <w:rsid w:val="00444DB7"/>
    <w:rsid w:val="0044557F"/>
    <w:rsid w:val="004456CB"/>
    <w:rsid w:val="004462BD"/>
    <w:rsid w:val="00446333"/>
    <w:rsid w:val="00450377"/>
    <w:rsid w:val="004510F7"/>
    <w:rsid w:val="004517E7"/>
    <w:rsid w:val="00451A22"/>
    <w:rsid w:val="00453B21"/>
    <w:rsid w:val="004543A0"/>
    <w:rsid w:val="00455042"/>
    <w:rsid w:val="00455734"/>
    <w:rsid w:val="004558D6"/>
    <w:rsid w:val="00455A1A"/>
    <w:rsid w:val="004563EB"/>
    <w:rsid w:val="00457B68"/>
    <w:rsid w:val="00457E41"/>
    <w:rsid w:val="0046004E"/>
    <w:rsid w:val="00460B2A"/>
    <w:rsid w:val="00461F03"/>
    <w:rsid w:val="00462051"/>
    <w:rsid w:val="00462AE3"/>
    <w:rsid w:val="00462B80"/>
    <w:rsid w:val="00463193"/>
    <w:rsid w:val="00463329"/>
    <w:rsid w:val="004633EC"/>
    <w:rsid w:val="00463A02"/>
    <w:rsid w:val="004644CB"/>
    <w:rsid w:val="00465953"/>
    <w:rsid w:val="004676FE"/>
    <w:rsid w:val="00467BA2"/>
    <w:rsid w:val="00470917"/>
    <w:rsid w:val="00472965"/>
    <w:rsid w:val="00472CA2"/>
    <w:rsid w:val="00473216"/>
    <w:rsid w:val="00473538"/>
    <w:rsid w:val="004736AC"/>
    <w:rsid w:val="00473A87"/>
    <w:rsid w:val="00473AA6"/>
    <w:rsid w:val="00474516"/>
    <w:rsid w:val="00474F23"/>
    <w:rsid w:val="0047603B"/>
    <w:rsid w:val="00476B9D"/>
    <w:rsid w:val="0047791F"/>
    <w:rsid w:val="00480355"/>
    <w:rsid w:val="00480565"/>
    <w:rsid w:val="00480BFB"/>
    <w:rsid w:val="00480DD4"/>
    <w:rsid w:val="00481431"/>
    <w:rsid w:val="00481678"/>
    <w:rsid w:val="00481682"/>
    <w:rsid w:val="00482783"/>
    <w:rsid w:val="00482F7A"/>
    <w:rsid w:val="00483953"/>
    <w:rsid w:val="004849B6"/>
    <w:rsid w:val="00485502"/>
    <w:rsid w:val="00485B3F"/>
    <w:rsid w:val="00486D2C"/>
    <w:rsid w:val="00486FAA"/>
    <w:rsid w:val="00487D9F"/>
    <w:rsid w:val="00490058"/>
    <w:rsid w:val="00490791"/>
    <w:rsid w:val="00490D6F"/>
    <w:rsid w:val="004914BF"/>
    <w:rsid w:val="004928A1"/>
    <w:rsid w:val="00492EFF"/>
    <w:rsid w:val="00493145"/>
    <w:rsid w:val="00493ADC"/>
    <w:rsid w:val="004950C1"/>
    <w:rsid w:val="00495E97"/>
    <w:rsid w:val="00496158"/>
    <w:rsid w:val="004961A0"/>
    <w:rsid w:val="00496493"/>
    <w:rsid w:val="004A008A"/>
    <w:rsid w:val="004A0DB4"/>
    <w:rsid w:val="004A1340"/>
    <w:rsid w:val="004A2385"/>
    <w:rsid w:val="004A30BD"/>
    <w:rsid w:val="004A360E"/>
    <w:rsid w:val="004A5142"/>
    <w:rsid w:val="004A63B4"/>
    <w:rsid w:val="004A7E94"/>
    <w:rsid w:val="004B068E"/>
    <w:rsid w:val="004B12DB"/>
    <w:rsid w:val="004B27B5"/>
    <w:rsid w:val="004B28C7"/>
    <w:rsid w:val="004B28D3"/>
    <w:rsid w:val="004B60E4"/>
    <w:rsid w:val="004B67CF"/>
    <w:rsid w:val="004B7C1F"/>
    <w:rsid w:val="004C0126"/>
    <w:rsid w:val="004C022D"/>
    <w:rsid w:val="004C28D4"/>
    <w:rsid w:val="004C2C43"/>
    <w:rsid w:val="004C3168"/>
    <w:rsid w:val="004C3B30"/>
    <w:rsid w:val="004C421D"/>
    <w:rsid w:val="004C47FF"/>
    <w:rsid w:val="004C5C81"/>
    <w:rsid w:val="004C63AF"/>
    <w:rsid w:val="004C6411"/>
    <w:rsid w:val="004C6755"/>
    <w:rsid w:val="004C754C"/>
    <w:rsid w:val="004C78AE"/>
    <w:rsid w:val="004D0719"/>
    <w:rsid w:val="004D10C2"/>
    <w:rsid w:val="004D1A27"/>
    <w:rsid w:val="004D1C96"/>
    <w:rsid w:val="004D2FC9"/>
    <w:rsid w:val="004D3057"/>
    <w:rsid w:val="004D3989"/>
    <w:rsid w:val="004D43EA"/>
    <w:rsid w:val="004D564B"/>
    <w:rsid w:val="004D5834"/>
    <w:rsid w:val="004D6A78"/>
    <w:rsid w:val="004D760D"/>
    <w:rsid w:val="004D7736"/>
    <w:rsid w:val="004D78CD"/>
    <w:rsid w:val="004D7B31"/>
    <w:rsid w:val="004E0B3A"/>
    <w:rsid w:val="004E0B80"/>
    <w:rsid w:val="004E0E08"/>
    <w:rsid w:val="004E1D73"/>
    <w:rsid w:val="004E2162"/>
    <w:rsid w:val="004E24F2"/>
    <w:rsid w:val="004E281C"/>
    <w:rsid w:val="004E3274"/>
    <w:rsid w:val="004E3345"/>
    <w:rsid w:val="004E33C1"/>
    <w:rsid w:val="004E3CEF"/>
    <w:rsid w:val="004E3F51"/>
    <w:rsid w:val="004E57D5"/>
    <w:rsid w:val="004E735D"/>
    <w:rsid w:val="004E7CF6"/>
    <w:rsid w:val="004F0CA7"/>
    <w:rsid w:val="004F1225"/>
    <w:rsid w:val="004F16AF"/>
    <w:rsid w:val="004F25D5"/>
    <w:rsid w:val="004F3175"/>
    <w:rsid w:val="004F3927"/>
    <w:rsid w:val="004F3DFC"/>
    <w:rsid w:val="00500849"/>
    <w:rsid w:val="00500F29"/>
    <w:rsid w:val="00501956"/>
    <w:rsid w:val="0050274D"/>
    <w:rsid w:val="005029B8"/>
    <w:rsid w:val="005048F5"/>
    <w:rsid w:val="0050498F"/>
    <w:rsid w:val="00505D0F"/>
    <w:rsid w:val="00506D9B"/>
    <w:rsid w:val="005077F9"/>
    <w:rsid w:val="0050793D"/>
    <w:rsid w:val="00510EE9"/>
    <w:rsid w:val="0051106C"/>
    <w:rsid w:val="00511382"/>
    <w:rsid w:val="005116C2"/>
    <w:rsid w:val="005123A0"/>
    <w:rsid w:val="00513151"/>
    <w:rsid w:val="0051371D"/>
    <w:rsid w:val="00513EEC"/>
    <w:rsid w:val="00513F6F"/>
    <w:rsid w:val="00514792"/>
    <w:rsid w:val="00514919"/>
    <w:rsid w:val="0051563A"/>
    <w:rsid w:val="00515F6D"/>
    <w:rsid w:val="00516211"/>
    <w:rsid w:val="00516B90"/>
    <w:rsid w:val="005208D9"/>
    <w:rsid w:val="00522023"/>
    <w:rsid w:val="00522775"/>
    <w:rsid w:val="00522CD6"/>
    <w:rsid w:val="00523AA7"/>
    <w:rsid w:val="0052548D"/>
    <w:rsid w:val="00525C00"/>
    <w:rsid w:val="005263D5"/>
    <w:rsid w:val="00527119"/>
    <w:rsid w:val="00527552"/>
    <w:rsid w:val="005301E6"/>
    <w:rsid w:val="00530F66"/>
    <w:rsid w:val="0053116A"/>
    <w:rsid w:val="00531747"/>
    <w:rsid w:val="0053198E"/>
    <w:rsid w:val="005319B8"/>
    <w:rsid w:val="00531DCA"/>
    <w:rsid w:val="00531E6C"/>
    <w:rsid w:val="00532F3A"/>
    <w:rsid w:val="005331AD"/>
    <w:rsid w:val="00534B97"/>
    <w:rsid w:val="00534F77"/>
    <w:rsid w:val="00536AB2"/>
    <w:rsid w:val="00536BAE"/>
    <w:rsid w:val="00536BF7"/>
    <w:rsid w:val="0053724B"/>
    <w:rsid w:val="005404E9"/>
    <w:rsid w:val="0054061F"/>
    <w:rsid w:val="00540FAA"/>
    <w:rsid w:val="00541103"/>
    <w:rsid w:val="00541114"/>
    <w:rsid w:val="00541710"/>
    <w:rsid w:val="00541785"/>
    <w:rsid w:val="00543741"/>
    <w:rsid w:val="0054395F"/>
    <w:rsid w:val="00543BCC"/>
    <w:rsid w:val="00543BED"/>
    <w:rsid w:val="00544362"/>
    <w:rsid w:val="0054475C"/>
    <w:rsid w:val="00544C4D"/>
    <w:rsid w:val="00546130"/>
    <w:rsid w:val="00546A6A"/>
    <w:rsid w:val="00546C35"/>
    <w:rsid w:val="00547024"/>
    <w:rsid w:val="00547764"/>
    <w:rsid w:val="00547F0A"/>
    <w:rsid w:val="00550979"/>
    <w:rsid w:val="00550DBC"/>
    <w:rsid w:val="005515C5"/>
    <w:rsid w:val="00551931"/>
    <w:rsid w:val="00554376"/>
    <w:rsid w:val="0055580A"/>
    <w:rsid w:val="00555D9C"/>
    <w:rsid w:val="00556761"/>
    <w:rsid w:val="00556799"/>
    <w:rsid w:val="005577CC"/>
    <w:rsid w:val="00557F04"/>
    <w:rsid w:val="00557F71"/>
    <w:rsid w:val="0056008F"/>
    <w:rsid w:val="0056074A"/>
    <w:rsid w:val="00561906"/>
    <w:rsid w:val="00561C64"/>
    <w:rsid w:val="005623BE"/>
    <w:rsid w:val="005628B0"/>
    <w:rsid w:val="00562A01"/>
    <w:rsid w:val="00563D12"/>
    <w:rsid w:val="00563ED0"/>
    <w:rsid w:val="005643D0"/>
    <w:rsid w:val="0056448C"/>
    <w:rsid w:val="0056479B"/>
    <w:rsid w:val="005659E4"/>
    <w:rsid w:val="00565D11"/>
    <w:rsid w:val="00566420"/>
    <w:rsid w:val="00566B4A"/>
    <w:rsid w:val="00566E57"/>
    <w:rsid w:val="00566E8A"/>
    <w:rsid w:val="00567B94"/>
    <w:rsid w:val="00570560"/>
    <w:rsid w:val="0057085A"/>
    <w:rsid w:val="00571915"/>
    <w:rsid w:val="0057194F"/>
    <w:rsid w:val="00571DBE"/>
    <w:rsid w:val="005727C0"/>
    <w:rsid w:val="00572905"/>
    <w:rsid w:val="00572D48"/>
    <w:rsid w:val="00573402"/>
    <w:rsid w:val="00574AD1"/>
    <w:rsid w:val="0057554E"/>
    <w:rsid w:val="00577313"/>
    <w:rsid w:val="005803D3"/>
    <w:rsid w:val="005808CD"/>
    <w:rsid w:val="00580B7D"/>
    <w:rsid w:val="00581256"/>
    <w:rsid w:val="0058145E"/>
    <w:rsid w:val="00581692"/>
    <w:rsid w:val="00581B3E"/>
    <w:rsid w:val="005827E6"/>
    <w:rsid w:val="00582C88"/>
    <w:rsid w:val="005833D9"/>
    <w:rsid w:val="00584021"/>
    <w:rsid w:val="005849A9"/>
    <w:rsid w:val="005855E1"/>
    <w:rsid w:val="005862C2"/>
    <w:rsid w:val="0058641A"/>
    <w:rsid w:val="005865F7"/>
    <w:rsid w:val="00586812"/>
    <w:rsid w:val="005868A1"/>
    <w:rsid w:val="00586BA7"/>
    <w:rsid w:val="0059003F"/>
    <w:rsid w:val="00591324"/>
    <w:rsid w:val="005913B5"/>
    <w:rsid w:val="0059235F"/>
    <w:rsid w:val="005927E4"/>
    <w:rsid w:val="00592BFA"/>
    <w:rsid w:val="00593082"/>
    <w:rsid w:val="00593414"/>
    <w:rsid w:val="00593FA8"/>
    <w:rsid w:val="0059420F"/>
    <w:rsid w:val="00594CB1"/>
    <w:rsid w:val="005957FA"/>
    <w:rsid w:val="005977F1"/>
    <w:rsid w:val="00597E63"/>
    <w:rsid w:val="005A01A0"/>
    <w:rsid w:val="005A051E"/>
    <w:rsid w:val="005A0BB7"/>
    <w:rsid w:val="005A0C5F"/>
    <w:rsid w:val="005A1F9D"/>
    <w:rsid w:val="005A217A"/>
    <w:rsid w:val="005A335E"/>
    <w:rsid w:val="005A3786"/>
    <w:rsid w:val="005A3A06"/>
    <w:rsid w:val="005A4C4D"/>
    <w:rsid w:val="005A50F0"/>
    <w:rsid w:val="005A54C9"/>
    <w:rsid w:val="005A5EFD"/>
    <w:rsid w:val="005A62CC"/>
    <w:rsid w:val="005A6564"/>
    <w:rsid w:val="005A65EA"/>
    <w:rsid w:val="005A67AD"/>
    <w:rsid w:val="005A79DE"/>
    <w:rsid w:val="005A7DED"/>
    <w:rsid w:val="005B0315"/>
    <w:rsid w:val="005B0D12"/>
    <w:rsid w:val="005B1A5F"/>
    <w:rsid w:val="005B1BFA"/>
    <w:rsid w:val="005B1DC7"/>
    <w:rsid w:val="005B296F"/>
    <w:rsid w:val="005B39F5"/>
    <w:rsid w:val="005B3A51"/>
    <w:rsid w:val="005B4CFD"/>
    <w:rsid w:val="005B5591"/>
    <w:rsid w:val="005B63C3"/>
    <w:rsid w:val="005B6A0A"/>
    <w:rsid w:val="005B6C8D"/>
    <w:rsid w:val="005B78BE"/>
    <w:rsid w:val="005B7E0B"/>
    <w:rsid w:val="005B7F37"/>
    <w:rsid w:val="005C0CA6"/>
    <w:rsid w:val="005C2231"/>
    <w:rsid w:val="005C2EB3"/>
    <w:rsid w:val="005C3130"/>
    <w:rsid w:val="005C3F60"/>
    <w:rsid w:val="005C421E"/>
    <w:rsid w:val="005C52E8"/>
    <w:rsid w:val="005C56D8"/>
    <w:rsid w:val="005C5F2C"/>
    <w:rsid w:val="005C665B"/>
    <w:rsid w:val="005C6FCD"/>
    <w:rsid w:val="005D136F"/>
    <w:rsid w:val="005D1657"/>
    <w:rsid w:val="005D2706"/>
    <w:rsid w:val="005D36E0"/>
    <w:rsid w:val="005D3BBF"/>
    <w:rsid w:val="005D4015"/>
    <w:rsid w:val="005D41BC"/>
    <w:rsid w:val="005D4CC4"/>
    <w:rsid w:val="005D55BE"/>
    <w:rsid w:val="005D5DDF"/>
    <w:rsid w:val="005D6306"/>
    <w:rsid w:val="005D790B"/>
    <w:rsid w:val="005D7ABD"/>
    <w:rsid w:val="005E0B47"/>
    <w:rsid w:val="005E2807"/>
    <w:rsid w:val="005E3032"/>
    <w:rsid w:val="005E390E"/>
    <w:rsid w:val="005E4758"/>
    <w:rsid w:val="005E5D4F"/>
    <w:rsid w:val="005E6F7D"/>
    <w:rsid w:val="005E7718"/>
    <w:rsid w:val="005F0087"/>
    <w:rsid w:val="005F01D3"/>
    <w:rsid w:val="005F108D"/>
    <w:rsid w:val="005F1C67"/>
    <w:rsid w:val="005F2795"/>
    <w:rsid w:val="005F3F8B"/>
    <w:rsid w:val="005F5C3D"/>
    <w:rsid w:val="005F75B2"/>
    <w:rsid w:val="005F7622"/>
    <w:rsid w:val="005F7CDC"/>
    <w:rsid w:val="005F7CE7"/>
    <w:rsid w:val="006003EC"/>
    <w:rsid w:val="00600524"/>
    <w:rsid w:val="0060102A"/>
    <w:rsid w:val="006012AE"/>
    <w:rsid w:val="006012F0"/>
    <w:rsid w:val="006013D5"/>
    <w:rsid w:val="00601816"/>
    <w:rsid w:val="0060331D"/>
    <w:rsid w:val="006043C6"/>
    <w:rsid w:val="00604784"/>
    <w:rsid w:val="00605245"/>
    <w:rsid w:val="00605E8C"/>
    <w:rsid w:val="006068CE"/>
    <w:rsid w:val="00607263"/>
    <w:rsid w:val="00607C70"/>
    <w:rsid w:val="00611570"/>
    <w:rsid w:val="00612025"/>
    <w:rsid w:val="00613808"/>
    <w:rsid w:val="006140FE"/>
    <w:rsid w:val="00614244"/>
    <w:rsid w:val="00614675"/>
    <w:rsid w:val="0061483F"/>
    <w:rsid w:val="00614AC3"/>
    <w:rsid w:val="006155BB"/>
    <w:rsid w:val="00615D44"/>
    <w:rsid w:val="0061692D"/>
    <w:rsid w:val="0061697C"/>
    <w:rsid w:val="00617457"/>
    <w:rsid w:val="0061764A"/>
    <w:rsid w:val="00617B79"/>
    <w:rsid w:val="00617D82"/>
    <w:rsid w:val="006202BB"/>
    <w:rsid w:val="006215C8"/>
    <w:rsid w:val="00621C59"/>
    <w:rsid w:val="00622F05"/>
    <w:rsid w:val="0062357B"/>
    <w:rsid w:val="00623B21"/>
    <w:rsid w:val="00623CDC"/>
    <w:rsid w:val="00623F5B"/>
    <w:rsid w:val="0062556C"/>
    <w:rsid w:val="006264DF"/>
    <w:rsid w:val="006266BE"/>
    <w:rsid w:val="00626808"/>
    <w:rsid w:val="006272E7"/>
    <w:rsid w:val="00627E5C"/>
    <w:rsid w:val="00630F96"/>
    <w:rsid w:val="00630FF9"/>
    <w:rsid w:val="006314AF"/>
    <w:rsid w:val="00631802"/>
    <w:rsid w:val="006329A8"/>
    <w:rsid w:val="00632B37"/>
    <w:rsid w:val="00632BC0"/>
    <w:rsid w:val="006330D1"/>
    <w:rsid w:val="006339D1"/>
    <w:rsid w:val="00634085"/>
    <w:rsid w:val="00634969"/>
    <w:rsid w:val="00635913"/>
    <w:rsid w:val="00635F63"/>
    <w:rsid w:val="00636DB2"/>
    <w:rsid w:val="00636EB7"/>
    <w:rsid w:val="006409F2"/>
    <w:rsid w:val="0064131D"/>
    <w:rsid w:val="0064142E"/>
    <w:rsid w:val="006414D3"/>
    <w:rsid w:val="00641B99"/>
    <w:rsid w:val="006438E8"/>
    <w:rsid w:val="006447F7"/>
    <w:rsid w:val="0064533B"/>
    <w:rsid w:val="006460C4"/>
    <w:rsid w:val="00646C31"/>
    <w:rsid w:val="00646E16"/>
    <w:rsid w:val="00647E7F"/>
    <w:rsid w:val="00651062"/>
    <w:rsid w:val="00651D4A"/>
    <w:rsid w:val="0065226D"/>
    <w:rsid w:val="0065233A"/>
    <w:rsid w:val="006524E6"/>
    <w:rsid w:val="0065250E"/>
    <w:rsid w:val="00652747"/>
    <w:rsid w:val="006527A6"/>
    <w:rsid w:val="00652B3C"/>
    <w:rsid w:val="00652D9D"/>
    <w:rsid w:val="006535FB"/>
    <w:rsid w:val="00653FA6"/>
    <w:rsid w:val="006548A2"/>
    <w:rsid w:val="00654B59"/>
    <w:rsid w:val="00655D8E"/>
    <w:rsid w:val="00656571"/>
    <w:rsid w:val="00656EE6"/>
    <w:rsid w:val="00657093"/>
    <w:rsid w:val="00657219"/>
    <w:rsid w:val="00660460"/>
    <w:rsid w:val="006605BA"/>
    <w:rsid w:val="00660A0D"/>
    <w:rsid w:val="00660EAA"/>
    <w:rsid w:val="0066209A"/>
    <w:rsid w:val="00662989"/>
    <w:rsid w:val="00662F92"/>
    <w:rsid w:val="006630C9"/>
    <w:rsid w:val="00663122"/>
    <w:rsid w:val="0066491D"/>
    <w:rsid w:val="006650E2"/>
    <w:rsid w:val="00665A99"/>
    <w:rsid w:val="00665C7A"/>
    <w:rsid w:val="00665CEA"/>
    <w:rsid w:val="006673EC"/>
    <w:rsid w:val="00667724"/>
    <w:rsid w:val="00667927"/>
    <w:rsid w:val="00667DA5"/>
    <w:rsid w:val="00670731"/>
    <w:rsid w:val="00670D63"/>
    <w:rsid w:val="00671197"/>
    <w:rsid w:val="00671764"/>
    <w:rsid w:val="00671F11"/>
    <w:rsid w:val="00672326"/>
    <w:rsid w:val="006733E1"/>
    <w:rsid w:val="006737C4"/>
    <w:rsid w:val="00673836"/>
    <w:rsid w:val="00674B78"/>
    <w:rsid w:val="00674BC9"/>
    <w:rsid w:val="00674E99"/>
    <w:rsid w:val="006770F5"/>
    <w:rsid w:val="00677671"/>
    <w:rsid w:val="00677CE1"/>
    <w:rsid w:val="00681193"/>
    <w:rsid w:val="006813F1"/>
    <w:rsid w:val="00681E75"/>
    <w:rsid w:val="00682EDF"/>
    <w:rsid w:val="00682F7C"/>
    <w:rsid w:val="00683FD1"/>
    <w:rsid w:val="006846AD"/>
    <w:rsid w:val="0068534D"/>
    <w:rsid w:val="00685502"/>
    <w:rsid w:val="0068558B"/>
    <w:rsid w:val="00685C45"/>
    <w:rsid w:val="00685D0F"/>
    <w:rsid w:val="006861EC"/>
    <w:rsid w:val="006864BC"/>
    <w:rsid w:val="00686518"/>
    <w:rsid w:val="00686764"/>
    <w:rsid w:val="00687CF7"/>
    <w:rsid w:val="00687D18"/>
    <w:rsid w:val="00687FCE"/>
    <w:rsid w:val="00690582"/>
    <w:rsid w:val="0069129A"/>
    <w:rsid w:val="0069147C"/>
    <w:rsid w:val="00691B18"/>
    <w:rsid w:val="00691D8F"/>
    <w:rsid w:val="0069386D"/>
    <w:rsid w:val="00693A11"/>
    <w:rsid w:val="00694570"/>
    <w:rsid w:val="006948C9"/>
    <w:rsid w:val="00695673"/>
    <w:rsid w:val="00695849"/>
    <w:rsid w:val="00695E22"/>
    <w:rsid w:val="00695E3D"/>
    <w:rsid w:val="00697DE7"/>
    <w:rsid w:val="006A0C5D"/>
    <w:rsid w:val="006A1688"/>
    <w:rsid w:val="006A1B8B"/>
    <w:rsid w:val="006A1FF3"/>
    <w:rsid w:val="006A2418"/>
    <w:rsid w:val="006A274D"/>
    <w:rsid w:val="006A4232"/>
    <w:rsid w:val="006A4D38"/>
    <w:rsid w:val="006A535E"/>
    <w:rsid w:val="006A5818"/>
    <w:rsid w:val="006A6880"/>
    <w:rsid w:val="006A6E5D"/>
    <w:rsid w:val="006A72FE"/>
    <w:rsid w:val="006A7556"/>
    <w:rsid w:val="006B0206"/>
    <w:rsid w:val="006B0507"/>
    <w:rsid w:val="006B0BED"/>
    <w:rsid w:val="006B19DB"/>
    <w:rsid w:val="006B1CFA"/>
    <w:rsid w:val="006B2CD8"/>
    <w:rsid w:val="006B3A0D"/>
    <w:rsid w:val="006B40B1"/>
    <w:rsid w:val="006B413A"/>
    <w:rsid w:val="006B46E8"/>
    <w:rsid w:val="006B4920"/>
    <w:rsid w:val="006B5719"/>
    <w:rsid w:val="006B5B90"/>
    <w:rsid w:val="006B7344"/>
    <w:rsid w:val="006C0333"/>
    <w:rsid w:val="006C062E"/>
    <w:rsid w:val="006C1D3E"/>
    <w:rsid w:val="006C287D"/>
    <w:rsid w:val="006C29B5"/>
    <w:rsid w:val="006C3171"/>
    <w:rsid w:val="006C3B8D"/>
    <w:rsid w:val="006C4FE5"/>
    <w:rsid w:val="006C56A2"/>
    <w:rsid w:val="006C5DA6"/>
    <w:rsid w:val="006C609F"/>
    <w:rsid w:val="006C6C2B"/>
    <w:rsid w:val="006C6DE0"/>
    <w:rsid w:val="006D01F6"/>
    <w:rsid w:val="006D0CB0"/>
    <w:rsid w:val="006D1713"/>
    <w:rsid w:val="006D2C1F"/>
    <w:rsid w:val="006D355B"/>
    <w:rsid w:val="006D3D9A"/>
    <w:rsid w:val="006D573F"/>
    <w:rsid w:val="006D5EE9"/>
    <w:rsid w:val="006D65CA"/>
    <w:rsid w:val="006D69ED"/>
    <w:rsid w:val="006D6A8C"/>
    <w:rsid w:val="006D6E18"/>
    <w:rsid w:val="006D791C"/>
    <w:rsid w:val="006E0531"/>
    <w:rsid w:val="006E0546"/>
    <w:rsid w:val="006E0860"/>
    <w:rsid w:val="006E1376"/>
    <w:rsid w:val="006E1470"/>
    <w:rsid w:val="006E2312"/>
    <w:rsid w:val="006E2359"/>
    <w:rsid w:val="006E2668"/>
    <w:rsid w:val="006E37CD"/>
    <w:rsid w:val="006E478A"/>
    <w:rsid w:val="006E4B05"/>
    <w:rsid w:val="006E4E77"/>
    <w:rsid w:val="006E530D"/>
    <w:rsid w:val="006E5680"/>
    <w:rsid w:val="006E6688"/>
    <w:rsid w:val="006E6D45"/>
    <w:rsid w:val="006F0948"/>
    <w:rsid w:val="006F09A6"/>
    <w:rsid w:val="006F2951"/>
    <w:rsid w:val="006F2A6E"/>
    <w:rsid w:val="006F391A"/>
    <w:rsid w:val="006F3A0B"/>
    <w:rsid w:val="006F3AA6"/>
    <w:rsid w:val="006F427D"/>
    <w:rsid w:val="006F4A11"/>
    <w:rsid w:val="006F6052"/>
    <w:rsid w:val="006F6471"/>
    <w:rsid w:val="006F7469"/>
    <w:rsid w:val="006F7E70"/>
    <w:rsid w:val="00700269"/>
    <w:rsid w:val="00700374"/>
    <w:rsid w:val="00700880"/>
    <w:rsid w:val="007008B2"/>
    <w:rsid w:val="00700D48"/>
    <w:rsid w:val="00700F5D"/>
    <w:rsid w:val="007016A3"/>
    <w:rsid w:val="00701950"/>
    <w:rsid w:val="007022A0"/>
    <w:rsid w:val="0070288B"/>
    <w:rsid w:val="00703E6D"/>
    <w:rsid w:val="00703EDF"/>
    <w:rsid w:val="00704547"/>
    <w:rsid w:val="0070546C"/>
    <w:rsid w:val="00705555"/>
    <w:rsid w:val="00705A3F"/>
    <w:rsid w:val="00706ADC"/>
    <w:rsid w:val="00706B0B"/>
    <w:rsid w:val="0070767D"/>
    <w:rsid w:val="007100A4"/>
    <w:rsid w:val="00710581"/>
    <w:rsid w:val="00710676"/>
    <w:rsid w:val="00710FC7"/>
    <w:rsid w:val="007115F2"/>
    <w:rsid w:val="00711AC5"/>
    <w:rsid w:val="007121C1"/>
    <w:rsid w:val="00712251"/>
    <w:rsid w:val="00712A10"/>
    <w:rsid w:val="00713980"/>
    <w:rsid w:val="00714F71"/>
    <w:rsid w:val="007151DE"/>
    <w:rsid w:val="00716017"/>
    <w:rsid w:val="0071646F"/>
    <w:rsid w:val="00717078"/>
    <w:rsid w:val="007208FC"/>
    <w:rsid w:val="00721030"/>
    <w:rsid w:val="0072141D"/>
    <w:rsid w:val="00721B97"/>
    <w:rsid w:val="00721B99"/>
    <w:rsid w:val="00723089"/>
    <w:rsid w:val="0072322D"/>
    <w:rsid w:val="00723BB7"/>
    <w:rsid w:val="007243F2"/>
    <w:rsid w:val="0072490F"/>
    <w:rsid w:val="00724DEA"/>
    <w:rsid w:val="0072509C"/>
    <w:rsid w:val="0072581E"/>
    <w:rsid w:val="00726E9D"/>
    <w:rsid w:val="007279C0"/>
    <w:rsid w:val="00727B07"/>
    <w:rsid w:val="00730441"/>
    <w:rsid w:val="0073048A"/>
    <w:rsid w:val="0073083B"/>
    <w:rsid w:val="00730E99"/>
    <w:rsid w:val="00731148"/>
    <w:rsid w:val="00731352"/>
    <w:rsid w:val="0073194C"/>
    <w:rsid w:val="0073284B"/>
    <w:rsid w:val="00732881"/>
    <w:rsid w:val="0073313E"/>
    <w:rsid w:val="0073359A"/>
    <w:rsid w:val="0073389E"/>
    <w:rsid w:val="007344D2"/>
    <w:rsid w:val="007345C7"/>
    <w:rsid w:val="007361B1"/>
    <w:rsid w:val="00736421"/>
    <w:rsid w:val="0073661B"/>
    <w:rsid w:val="007372D1"/>
    <w:rsid w:val="00737690"/>
    <w:rsid w:val="007376EC"/>
    <w:rsid w:val="00740EC5"/>
    <w:rsid w:val="00741078"/>
    <w:rsid w:val="00741D90"/>
    <w:rsid w:val="00742244"/>
    <w:rsid w:val="007426DC"/>
    <w:rsid w:val="007429FB"/>
    <w:rsid w:val="00742CED"/>
    <w:rsid w:val="00742ED2"/>
    <w:rsid w:val="007430BE"/>
    <w:rsid w:val="007437D8"/>
    <w:rsid w:val="007443DE"/>
    <w:rsid w:val="00744A6C"/>
    <w:rsid w:val="00745584"/>
    <w:rsid w:val="00747645"/>
    <w:rsid w:val="0075004C"/>
    <w:rsid w:val="00751205"/>
    <w:rsid w:val="00751830"/>
    <w:rsid w:val="0075270D"/>
    <w:rsid w:val="00752740"/>
    <w:rsid w:val="00752912"/>
    <w:rsid w:val="00752CAF"/>
    <w:rsid w:val="00753260"/>
    <w:rsid w:val="00753D03"/>
    <w:rsid w:val="0075427A"/>
    <w:rsid w:val="00754B0E"/>
    <w:rsid w:val="00755028"/>
    <w:rsid w:val="007550BE"/>
    <w:rsid w:val="00755A5A"/>
    <w:rsid w:val="00755B90"/>
    <w:rsid w:val="00755BAA"/>
    <w:rsid w:val="00755E58"/>
    <w:rsid w:val="007610AC"/>
    <w:rsid w:val="007610D6"/>
    <w:rsid w:val="00761BF6"/>
    <w:rsid w:val="007630D8"/>
    <w:rsid w:val="00763112"/>
    <w:rsid w:val="007638E1"/>
    <w:rsid w:val="007642F7"/>
    <w:rsid w:val="00764D89"/>
    <w:rsid w:val="0076560A"/>
    <w:rsid w:val="00765812"/>
    <w:rsid w:val="00765F56"/>
    <w:rsid w:val="00767058"/>
    <w:rsid w:val="00767457"/>
    <w:rsid w:val="00767FB7"/>
    <w:rsid w:val="00770034"/>
    <w:rsid w:val="00770882"/>
    <w:rsid w:val="00771373"/>
    <w:rsid w:val="007714D8"/>
    <w:rsid w:val="007717C6"/>
    <w:rsid w:val="00771D8B"/>
    <w:rsid w:val="0077250B"/>
    <w:rsid w:val="00773574"/>
    <w:rsid w:val="00773C4D"/>
    <w:rsid w:val="00774CAE"/>
    <w:rsid w:val="00774F72"/>
    <w:rsid w:val="0077665D"/>
    <w:rsid w:val="00776949"/>
    <w:rsid w:val="00776B63"/>
    <w:rsid w:val="00777EF6"/>
    <w:rsid w:val="007800F5"/>
    <w:rsid w:val="007801E0"/>
    <w:rsid w:val="00780511"/>
    <w:rsid w:val="007811BF"/>
    <w:rsid w:val="0078180B"/>
    <w:rsid w:val="00781B72"/>
    <w:rsid w:val="00782686"/>
    <w:rsid w:val="00782A35"/>
    <w:rsid w:val="00783FD6"/>
    <w:rsid w:val="007847DC"/>
    <w:rsid w:val="007868B7"/>
    <w:rsid w:val="00786DD1"/>
    <w:rsid w:val="0078710D"/>
    <w:rsid w:val="00787290"/>
    <w:rsid w:val="00790238"/>
    <w:rsid w:val="00791521"/>
    <w:rsid w:val="00791A08"/>
    <w:rsid w:val="00791C32"/>
    <w:rsid w:val="0079202A"/>
    <w:rsid w:val="00794E41"/>
    <w:rsid w:val="00797012"/>
    <w:rsid w:val="0079705B"/>
    <w:rsid w:val="00797712"/>
    <w:rsid w:val="007A011E"/>
    <w:rsid w:val="007A0224"/>
    <w:rsid w:val="007A0460"/>
    <w:rsid w:val="007A17CC"/>
    <w:rsid w:val="007A221B"/>
    <w:rsid w:val="007A22CB"/>
    <w:rsid w:val="007A2798"/>
    <w:rsid w:val="007A27A5"/>
    <w:rsid w:val="007A2A15"/>
    <w:rsid w:val="007A2D36"/>
    <w:rsid w:val="007A33BD"/>
    <w:rsid w:val="007A3E16"/>
    <w:rsid w:val="007A4582"/>
    <w:rsid w:val="007A5881"/>
    <w:rsid w:val="007A5B04"/>
    <w:rsid w:val="007A642C"/>
    <w:rsid w:val="007A751A"/>
    <w:rsid w:val="007A7678"/>
    <w:rsid w:val="007A78C2"/>
    <w:rsid w:val="007B0C94"/>
    <w:rsid w:val="007B19AB"/>
    <w:rsid w:val="007B257B"/>
    <w:rsid w:val="007B2682"/>
    <w:rsid w:val="007B3CEA"/>
    <w:rsid w:val="007B44E7"/>
    <w:rsid w:val="007B475F"/>
    <w:rsid w:val="007B4AA1"/>
    <w:rsid w:val="007B4C69"/>
    <w:rsid w:val="007B4EED"/>
    <w:rsid w:val="007B51D7"/>
    <w:rsid w:val="007B52C3"/>
    <w:rsid w:val="007B660C"/>
    <w:rsid w:val="007B6980"/>
    <w:rsid w:val="007B69C8"/>
    <w:rsid w:val="007B6C2E"/>
    <w:rsid w:val="007B6E52"/>
    <w:rsid w:val="007B7F50"/>
    <w:rsid w:val="007C1A66"/>
    <w:rsid w:val="007C1D6E"/>
    <w:rsid w:val="007C259C"/>
    <w:rsid w:val="007C27BF"/>
    <w:rsid w:val="007C3452"/>
    <w:rsid w:val="007C6F14"/>
    <w:rsid w:val="007C751B"/>
    <w:rsid w:val="007D03DF"/>
    <w:rsid w:val="007D0B83"/>
    <w:rsid w:val="007D0F89"/>
    <w:rsid w:val="007D1353"/>
    <w:rsid w:val="007D17BD"/>
    <w:rsid w:val="007D1978"/>
    <w:rsid w:val="007D228B"/>
    <w:rsid w:val="007D22F4"/>
    <w:rsid w:val="007D2C3C"/>
    <w:rsid w:val="007D31D7"/>
    <w:rsid w:val="007D3659"/>
    <w:rsid w:val="007D386F"/>
    <w:rsid w:val="007D3EBD"/>
    <w:rsid w:val="007D45F8"/>
    <w:rsid w:val="007D5AEA"/>
    <w:rsid w:val="007D6E17"/>
    <w:rsid w:val="007D6E73"/>
    <w:rsid w:val="007D7A17"/>
    <w:rsid w:val="007D7CA6"/>
    <w:rsid w:val="007E1494"/>
    <w:rsid w:val="007E20A4"/>
    <w:rsid w:val="007E3096"/>
    <w:rsid w:val="007E30DF"/>
    <w:rsid w:val="007E4991"/>
    <w:rsid w:val="007E54B8"/>
    <w:rsid w:val="007E5BCB"/>
    <w:rsid w:val="007E68C8"/>
    <w:rsid w:val="007E6942"/>
    <w:rsid w:val="007E6B93"/>
    <w:rsid w:val="007E6D9F"/>
    <w:rsid w:val="007E6EC8"/>
    <w:rsid w:val="007E7CB9"/>
    <w:rsid w:val="007E7D7B"/>
    <w:rsid w:val="007F0164"/>
    <w:rsid w:val="007F0337"/>
    <w:rsid w:val="007F17E7"/>
    <w:rsid w:val="007F1E8F"/>
    <w:rsid w:val="007F1F68"/>
    <w:rsid w:val="007F3359"/>
    <w:rsid w:val="007F374B"/>
    <w:rsid w:val="007F74B3"/>
    <w:rsid w:val="007F74C4"/>
    <w:rsid w:val="007F7658"/>
    <w:rsid w:val="007F7A29"/>
    <w:rsid w:val="007F7C1D"/>
    <w:rsid w:val="00801939"/>
    <w:rsid w:val="00801F44"/>
    <w:rsid w:val="00801FB9"/>
    <w:rsid w:val="00801FEA"/>
    <w:rsid w:val="00802852"/>
    <w:rsid w:val="00803314"/>
    <w:rsid w:val="008034AF"/>
    <w:rsid w:val="00803CDF"/>
    <w:rsid w:val="0080442B"/>
    <w:rsid w:val="0080495A"/>
    <w:rsid w:val="00806302"/>
    <w:rsid w:val="00806314"/>
    <w:rsid w:val="008064FA"/>
    <w:rsid w:val="0080662A"/>
    <w:rsid w:val="00807E86"/>
    <w:rsid w:val="00811317"/>
    <w:rsid w:val="00812193"/>
    <w:rsid w:val="00812F42"/>
    <w:rsid w:val="008136C8"/>
    <w:rsid w:val="0081436E"/>
    <w:rsid w:val="0081519B"/>
    <w:rsid w:val="00815B71"/>
    <w:rsid w:val="008162F1"/>
    <w:rsid w:val="00816ACD"/>
    <w:rsid w:val="0082067F"/>
    <w:rsid w:val="00820984"/>
    <w:rsid w:val="00820A8B"/>
    <w:rsid w:val="00820D85"/>
    <w:rsid w:val="00820E68"/>
    <w:rsid w:val="00821422"/>
    <w:rsid w:val="008225FE"/>
    <w:rsid w:val="008230BE"/>
    <w:rsid w:val="008233E6"/>
    <w:rsid w:val="0082407F"/>
    <w:rsid w:val="0082513F"/>
    <w:rsid w:val="0082541F"/>
    <w:rsid w:val="00825781"/>
    <w:rsid w:val="00827E39"/>
    <w:rsid w:val="008300E7"/>
    <w:rsid w:val="00830342"/>
    <w:rsid w:val="00831768"/>
    <w:rsid w:val="008327F3"/>
    <w:rsid w:val="008328E7"/>
    <w:rsid w:val="00833744"/>
    <w:rsid w:val="00834313"/>
    <w:rsid w:val="00834A32"/>
    <w:rsid w:val="008353F9"/>
    <w:rsid w:val="00836F61"/>
    <w:rsid w:val="00836F70"/>
    <w:rsid w:val="00837456"/>
    <w:rsid w:val="00837A0F"/>
    <w:rsid w:val="008413EF"/>
    <w:rsid w:val="00841473"/>
    <w:rsid w:val="00841CAD"/>
    <w:rsid w:val="00841D08"/>
    <w:rsid w:val="00842176"/>
    <w:rsid w:val="008432E3"/>
    <w:rsid w:val="00843373"/>
    <w:rsid w:val="008436BF"/>
    <w:rsid w:val="00844124"/>
    <w:rsid w:val="008442C7"/>
    <w:rsid w:val="0084440D"/>
    <w:rsid w:val="00844610"/>
    <w:rsid w:val="008452D7"/>
    <w:rsid w:val="0084539D"/>
    <w:rsid w:val="00846A20"/>
    <w:rsid w:val="008470DD"/>
    <w:rsid w:val="00850546"/>
    <w:rsid w:val="00850CCB"/>
    <w:rsid w:val="00851935"/>
    <w:rsid w:val="00851A0B"/>
    <w:rsid w:val="0085231E"/>
    <w:rsid w:val="0085268E"/>
    <w:rsid w:val="008526D0"/>
    <w:rsid w:val="0085369C"/>
    <w:rsid w:val="00856839"/>
    <w:rsid w:val="00856861"/>
    <w:rsid w:val="00857A99"/>
    <w:rsid w:val="0086034B"/>
    <w:rsid w:val="00860A36"/>
    <w:rsid w:val="00861277"/>
    <w:rsid w:val="00861934"/>
    <w:rsid w:val="00861F8D"/>
    <w:rsid w:val="0086310B"/>
    <w:rsid w:val="00863790"/>
    <w:rsid w:val="00863937"/>
    <w:rsid w:val="00864BDE"/>
    <w:rsid w:val="00864FF9"/>
    <w:rsid w:val="0086740E"/>
    <w:rsid w:val="0087033D"/>
    <w:rsid w:val="00870688"/>
    <w:rsid w:val="00870839"/>
    <w:rsid w:val="0087136F"/>
    <w:rsid w:val="008722C8"/>
    <w:rsid w:val="008727C6"/>
    <w:rsid w:val="00872C32"/>
    <w:rsid w:val="0087305F"/>
    <w:rsid w:val="00873197"/>
    <w:rsid w:val="00873862"/>
    <w:rsid w:val="00873899"/>
    <w:rsid w:val="00873BF4"/>
    <w:rsid w:val="00874185"/>
    <w:rsid w:val="00875D4E"/>
    <w:rsid w:val="00876009"/>
    <w:rsid w:val="008760FD"/>
    <w:rsid w:val="008764BF"/>
    <w:rsid w:val="008769C6"/>
    <w:rsid w:val="008769E7"/>
    <w:rsid w:val="00877196"/>
    <w:rsid w:val="008776E5"/>
    <w:rsid w:val="00877DBF"/>
    <w:rsid w:val="008807F0"/>
    <w:rsid w:val="00880965"/>
    <w:rsid w:val="00880E96"/>
    <w:rsid w:val="00881207"/>
    <w:rsid w:val="00881D97"/>
    <w:rsid w:val="00881E02"/>
    <w:rsid w:val="00882F69"/>
    <w:rsid w:val="008838BA"/>
    <w:rsid w:val="0088395B"/>
    <w:rsid w:val="00883DD7"/>
    <w:rsid w:val="008840D6"/>
    <w:rsid w:val="008842C4"/>
    <w:rsid w:val="00884F1C"/>
    <w:rsid w:val="00885391"/>
    <w:rsid w:val="00885833"/>
    <w:rsid w:val="0088608A"/>
    <w:rsid w:val="008869B4"/>
    <w:rsid w:val="0088736A"/>
    <w:rsid w:val="0088788E"/>
    <w:rsid w:val="00887913"/>
    <w:rsid w:val="00887D40"/>
    <w:rsid w:val="008907BF"/>
    <w:rsid w:val="008917AB"/>
    <w:rsid w:val="0089268D"/>
    <w:rsid w:val="00892C89"/>
    <w:rsid w:val="00892DBD"/>
    <w:rsid w:val="00892F48"/>
    <w:rsid w:val="008936E3"/>
    <w:rsid w:val="00894162"/>
    <w:rsid w:val="008946A7"/>
    <w:rsid w:val="00895E45"/>
    <w:rsid w:val="00896237"/>
    <w:rsid w:val="00897036"/>
    <w:rsid w:val="008A0C55"/>
    <w:rsid w:val="008A1664"/>
    <w:rsid w:val="008A1F62"/>
    <w:rsid w:val="008A300F"/>
    <w:rsid w:val="008A3378"/>
    <w:rsid w:val="008A37A5"/>
    <w:rsid w:val="008A4E52"/>
    <w:rsid w:val="008A549E"/>
    <w:rsid w:val="008A553A"/>
    <w:rsid w:val="008A5721"/>
    <w:rsid w:val="008A5D97"/>
    <w:rsid w:val="008A6B68"/>
    <w:rsid w:val="008A6D89"/>
    <w:rsid w:val="008A7758"/>
    <w:rsid w:val="008B082D"/>
    <w:rsid w:val="008B0A8E"/>
    <w:rsid w:val="008B0D17"/>
    <w:rsid w:val="008B1E76"/>
    <w:rsid w:val="008B21AC"/>
    <w:rsid w:val="008B2A77"/>
    <w:rsid w:val="008B34A1"/>
    <w:rsid w:val="008B37C1"/>
    <w:rsid w:val="008B3C56"/>
    <w:rsid w:val="008B5C4B"/>
    <w:rsid w:val="008B5DA5"/>
    <w:rsid w:val="008B63E3"/>
    <w:rsid w:val="008B68C7"/>
    <w:rsid w:val="008B6D96"/>
    <w:rsid w:val="008B6EE4"/>
    <w:rsid w:val="008B6F39"/>
    <w:rsid w:val="008B78F7"/>
    <w:rsid w:val="008C0414"/>
    <w:rsid w:val="008C0886"/>
    <w:rsid w:val="008C0AB7"/>
    <w:rsid w:val="008C0FC8"/>
    <w:rsid w:val="008C2061"/>
    <w:rsid w:val="008C2478"/>
    <w:rsid w:val="008C25D3"/>
    <w:rsid w:val="008C2BB1"/>
    <w:rsid w:val="008C341D"/>
    <w:rsid w:val="008C3908"/>
    <w:rsid w:val="008C498E"/>
    <w:rsid w:val="008C4AC9"/>
    <w:rsid w:val="008C4BF0"/>
    <w:rsid w:val="008C736F"/>
    <w:rsid w:val="008C751C"/>
    <w:rsid w:val="008C7827"/>
    <w:rsid w:val="008C7FDB"/>
    <w:rsid w:val="008D0033"/>
    <w:rsid w:val="008D029A"/>
    <w:rsid w:val="008D180A"/>
    <w:rsid w:val="008D27C9"/>
    <w:rsid w:val="008D2A36"/>
    <w:rsid w:val="008D2AB3"/>
    <w:rsid w:val="008D3361"/>
    <w:rsid w:val="008D3705"/>
    <w:rsid w:val="008D4916"/>
    <w:rsid w:val="008D5DD8"/>
    <w:rsid w:val="008D6D74"/>
    <w:rsid w:val="008D7305"/>
    <w:rsid w:val="008D7F33"/>
    <w:rsid w:val="008E09BF"/>
    <w:rsid w:val="008E0E3F"/>
    <w:rsid w:val="008E1526"/>
    <w:rsid w:val="008E2CB9"/>
    <w:rsid w:val="008E46AC"/>
    <w:rsid w:val="008E49C6"/>
    <w:rsid w:val="008E4AFE"/>
    <w:rsid w:val="008E4CA1"/>
    <w:rsid w:val="008E4F78"/>
    <w:rsid w:val="008E5277"/>
    <w:rsid w:val="008E5D0A"/>
    <w:rsid w:val="008E7B73"/>
    <w:rsid w:val="008F0B26"/>
    <w:rsid w:val="008F1CED"/>
    <w:rsid w:val="008F1E6F"/>
    <w:rsid w:val="008F341D"/>
    <w:rsid w:val="008F46B3"/>
    <w:rsid w:val="008F489E"/>
    <w:rsid w:val="008F4A1D"/>
    <w:rsid w:val="008F50F3"/>
    <w:rsid w:val="008F5717"/>
    <w:rsid w:val="008F5806"/>
    <w:rsid w:val="008F62BD"/>
    <w:rsid w:val="008F663B"/>
    <w:rsid w:val="008F6CCC"/>
    <w:rsid w:val="008F7170"/>
    <w:rsid w:val="008F7776"/>
    <w:rsid w:val="008F7AAE"/>
    <w:rsid w:val="009008BD"/>
    <w:rsid w:val="00901BB3"/>
    <w:rsid w:val="00903591"/>
    <w:rsid w:val="00903624"/>
    <w:rsid w:val="00903D88"/>
    <w:rsid w:val="00904A31"/>
    <w:rsid w:val="00904A9C"/>
    <w:rsid w:val="00904CCA"/>
    <w:rsid w:val="009051B0"/>
    <w:rsid w:val="00906A7B"/>
    <w:rsid w:val="00910259"/>
    <w:rsid w:val="009107AA"/>
    <w:rsid w:val="00911452"/>
    <w:rsid w:val="00912074"/>
    <w:rsid w:val="00912DAC"/>
    <w:rsid w:val="009142BE"/>
    <w:rsid w:val="009143B7"/>
    <w:rsid w:val="009144F4"/>
    <w:rsid w:val="009151B0"/>
    <w:rsid w:val="009158FE"/>
    <w:rsid w:val="00916856"/>
    <w:rsid w:val="009169C7"/>
    <w:rsid w:val="00917D79"/>
    <w:rsid w:val="00917FDE"/>
    <w:rsid w:val="00921084"/>
    <w:rsid w:val="00921CC3"/>
    <w:rsid w:val="00922EB5"/>
    <w:rsid w:val="00923465"/>
    <w:rsid w:val="0092576C"/>
    <w:rsid w:val="00925FD8"/>
    <w:rsid w:val="00926146"/>
    <w:rsid w:val="00926160"/>
    <w:rsid w:val="009266FC"/>
    <w:rsid w:val="009273B7"/>
    <w:rsid w:val="0092774F"/>
    <w:rsid w:val="0092781E"/>
    <w:rsid w:val="00930C1D"/>
    <w:rsid w:val="00931887"/>
    <w:rsid w:val="00931E41"/>
    <w:rsid w:val="00932296"/>
    <w:rsid w:val="009327A9"/>
    <w:rsid w:val="00932DC5"/>
    <w:rsid w:val="009332B4"/>
    <w:rsid w:val="009334BF"/>
    <w:rsid w:val="00933C58"/>
    <w:rsid w:val="0093437F"/>
    <w:rsid w:val="00934676"/>
    <w:rsid w:val="009347E9"/>
    <w:rsid w:val="00934870"/>
    <w:rsid w:val="0093511B"/>
    <w:rsid w:val="009357CA"/>
    <w:rsid w:val="0093765E"/>
    <w:rsid w:val="00937875"/>
    <w:rsid w:val="0094037D"/>
    <w:rsid w:val="00940B75"/>
    <w:rsid w:val="0094111D"/>
    <w:rsid w:val="00941E14"/>
    <w:rsid w:val="00943A59"/>
    <w:rsid w:val="00944011"/>
    <w:rsid w:val="009440EF"/>
    <w:rsid w:val="009465D7"/>
    <w:rsid w:val="00946669"/>
    <w:rsid w:val="009468D3"/>
    <w:rsid w:val="00946B70"/>
    <w:rsid w:val="009473F3"/>
    <w:rsid w:val="0094799F"/>
    <w:rsid w:val="00950518"/>
    <w:rsid w:val="00952312"/>
    <w:rsid w:val="00952457"/>
    <w:rsid w:val="00952775"/>
    <w:rsid w:val="00953705"/>
    <w:rsid w:val="00954290"/>
    <w:rsid w:val="0095553D"/>
    <w:rsid w:val="00955B7A"/>
    <w:rsid w:val="00956583"/>
    <w:rsid w:val="00957D1B"/>
    <w:rsid w:val="00957F07"/>
    <w:rsid w:val="0096074D"/>
    <w:rsid w:val="00960E6A"/>
    <w:rsid w:val="009615C5"/>
    <w:rsid w:val="00961BAB"/>
    <w:rsid w:val="009627FD"/>
    <w:rsid w:val="00962C9F"/>
    <w:rsid w:val="00962E63"/>
    <w:rsid w:val="00964591"/>
    <w:rsid w:val="00964662"/>
    <w:rsid w:val="00965AF8"/>
    <w:rsid w:val="00966D9C"/>
    <w:rsid w:val="009677F3"/>
    <w:rsid w:val="00967BAB"/>
    <w:rsid w:val="00967C6A"/>
    <w:rsid w:val="0097152D"/>
    <w:rsid w:val="00971FF3"/>
    <w:rsid w:val="009726B8"/>
    <w:rsid w:val="00972AF5"/>
    <w:rsid w:val="00973557"/>
    <w:rsid w:val="009749A5"/>
    <w:rsid w:val="00976886"/>
    <w:rsid w:val="009768C9"/>
    <w:rsid w:val="009778B5"/>
    <w:rsid w:val="00977AA7"/>
    <w:rsid w:val="00980758"/>
    <w:rsid w:val="0098248D"/>
    <w:rsid w:val="00982CFC"/>
    <w:rsid w:val="0098332D"/>
    <w:rsid w:val="00983FB5"/>
    <w:rsid w:val="009843A1"/>
    <w:rsid w:val="00984486"/>
    <w:rsid w:val="00984AB7"/>
    <w:rsid w:val="00984AB8"/>
    <w:rsid w:val="00984C0F"/>
    <w:rsid w:val="00984FFA"/>
    <w:rsid w:val="00985D97"/>
    <w:rsid w:val="00985EA7"/>
    <w:rsid w:val="00986198"/>
    <w:rsid w:val="00986470"/>
    <w:rsid w:val="00987084"/>
    <w:rsid w:val="009903EE"/>
    <w:rsid w:val="00990BAE"/>
    <w:rsid w:val="00991B9C"/>
    <w:rsid w:val="00991EE3"/>
    <w:rsid w:val="00991FDD"/>
    <w:rsid w:val="00992617"/>
    <w:rsid w:val="009928E0"/>
    <w:rsid w:val="00992D23"/>
    <w:rsid w:val="00993703"/>
    <w:rsid w:val="00993AC3"/>
    <w:rsid w:val="009953B0"/>
    <w:rsid w:val="00995C4D"/>
    <w:rsid w:val="00995C62"/>
    <w:rsid w:val="00996081"/>
    <w:rsid w:val="00996A7A"/>
    <w:rsid w:val="00997022"/>
    <w:rsid w:val="00997079"/>
    <w:rsid w:val="00997336"/>
    <w:rsid w:val="00997BE0"/>
    <w:rsid w:val="009A03E6"/>
    <w:rsid w:val="009A1183"/>
    <w:rsid w:val="009A1530"/>
    <w:rsid w:val="009A2BC6"/>
    <w:rsid w:val="009A31E9"/>
    <w:rsid w:val="009A3475"/>
    <w:rsid w:val="009A3609"/>
    <w:rsid w:val="009A3A6C"/>
    <w:rsid w:val="009A4981"/>
    <w:rsid w:val="009A4C24"/>
    <w:rsid w:val="009A51F6"/>
    <w:rsid w:val="009A65B6"/>
    <w:rsid w:val="009A6C65"/>
    <w:rsid w:val="009A72F3"/>
    <w:rsid w:val="009A757F"/>
    <w:rsid w:val="009A7AA8"/>
    <w:rsid w:val="009B0C91"/>
    <w:rsid w:val="009B1092"/>
    <w:rsid w:val="009B1136"/>
    <w:rsid w:val="009B1265"/>
    <w:rsid w:val="009B20F0"/>
    <w:rsid w:val="009B2720"/>
    <w:rsid w:val="009B29D4"/>
    <w:rsid w:val="009B2FEC"/>
    <w:rsid w:val="009B3282"/>
    <w:rsid w:val="009B4035"/>
    <w:rsid w:val="009B412C"/>
    <w:rsid w:val="009B429B"/>
    <w:rsid w:val="009B60B7"/>
    <w:rsid w:val="009B6310"/>
    <w:rsid w:val="009B64A7"/>
    <w:rsid w:val="009B6DC6"/>
    <w:rsid w:val="009B6DF4"/>
    <w:rsid w:val="009B7203"/>
    <w:rsid w:val="009B74E6"/>
    <w:rsid w:val="009C0403"/>
    <w:rsid w:val="009C0A39"/>
    <w:rsid w:val="009C2ECD"/>
    <w:rsid w:val="009C31AA"/>
    <w:rsid w:val="009C3455"/>
    <w:rsid w:val="009C34EA"/>
    <w:rsid w:val="009C36A7"/>
    <w:rsid w:val="009C4DB1"/>
    <w:rsid w:val="009C5902"/>
    <w:rsid w:val="009C5D5C"/>
    <w:rsid w:val="009C7724"/>
    <w:rsid w:val="009C7D8B"/>
    <w:rsid w:val="009D0841"/>
    <w:rsid w:val="009D1982"/>
    <w:rsid w:val="009D2262"/>
    <w:rsid w:val="009D2294"/>
    <w:rsid w:val="009D3D82"/>
    <w:rsid w:val="009D421F"/>
    <w:rsid w:val="009D4A8D"/>
    <w:rsid w:val="009D4EB0"/>
    <w:rsid w:val="009D54F8"/>
    <w:rsid w:val="009D566E"/>
    <w:rsid w:val="009D6205"/>
    <w:rsid w:val="009D6397"/>
    <w:rsid w:val="009D64C6"/>
    <w:rsid w:val="009D76B5"/>
    <w:rsid w:val="009D7722"/>
    <w:rsid w:val="009E112B"/>
    <w:rsid w:val="009E1DFA"/>
    <w:rsid w:val="009E1E38"/>
    <w:rsid w:val="009E2C7D"/>
    <w:rsid w:val="009E2F53"/>
    <w:rsid w:val="009E46FC"/>
    <w:rsid w:val="009E5C67"/>
    <w:rsid w:val="009E7238"/>
    <w:rsid w:val="009E7618"/>
    <w:rsid w:val="009E7ADE"/>
    <w:rsid w:val="009F102B"/>
    <w:rsid w:val="009F1138"/>
    <w:rsid w:val="009F1E1D"/>
    <w:rsid w:val="009F2238"/>
    <w:rsid w:val="009F22B6"/>
    <w:rsid w:val="009F240A"/>
    <w:rsid w:val="009F30F9"/>
    <w:rsid w:val="009F4300"/>
    <w:rsid w:val="009F49E0"/>
    <w:rsid w:val="009F5218"/>
    <w:rsid w:val="009F629A"/>
    <w:rsid w:val="009F67E4"/>
    <w:rsid w:val="009F72A1"/>
    <w:rsid w:val="009F7CF9"/>
    <w:rsid w:val="00A009AD"/>
    <w:rsid w:val="00A00BA8"/>
    <w:rsid w:val="00A01446"/>
    <w:rsid w:val="00A014FB"/>
    <w:rsid w:val="00A01DFF"/>
    <w:rsid w:val="00A02469"/>
    <w:rsid w:val="00A0249B"/>
    <w:rsid w:val="00A0296B"/>
    <w:rsid w:val="00A02CE7"/>
    <w:rsid w:val="00A02DCE"/>
    <w:rsid w:val="00A02FF8"/>
    <w:rsid w:val="00A03BB9"/>
    <w:rsid w:val="00A045BC"/>
    <w:rsid w:val="00A05B4F"/>
    <w:rsid w:val="00A07416"/>
    <w:rsid w:val="00A101E9"/>
    <w:rsid w:val="00A10AD4"/>
    <w:rsid w:val="00A10B67"/>
    <w:rsid w:val="00A12084"/>
    <w:rsid w:val="00A1230B"/>
    <w:rsid w:val="00A12D3F"/>
    <w:rsid w:val="00A13191"/>
    <w:rsid w:val="00A13488"/>
    <w:rsid w:val="00A139B3"/>
    <w:rsid w:val="00A14C30"/>
    <w:rsid w:val="00A15207"/>
    <w:rsid w:val="00A16226"/>
    <w:rsid w:val="00A16B44"/>
    <w:rsid w:val="00A16BDE"/>
    <w:rsid w:val="00A173E9"/>
    <w:rsid w:val="00A20640"/>
    <w:rsid w:val="00A2082E"/>
    <w:rsid w:val="00A21F43"/>
    <w:rsid w:val="00A22170"/>
    <w:rsid w:val="00A22205"/>
    <w:rsid w:val="00A224F4"/>
    <w:rsid w:val="00A225A5"/>
    <w:rsid w:val="00A23CC7"/>
    <w:rsid w:val="00A24EF9"/>
    <w:rsid w:val="00A2601B"/>
    <w:rsid w:val="00A26EC7"/>
    <w:rsid w:val="00A2738E"/>
    <w:rsid w:val="00A276CE"/>
    <w:rsid w:val="00A305D6"/>
    <w:rsid w:val="00A324BE"/>
    <w:rsid w:val="00A324CB"/>
    <w:rsid w:val="00A325C1"/>
    <w:rsid w:val="00A32B4C"/>
    <w:rsid w:val="00A330F1"/>
    <w:rsid w:val="00A3381B"/>
    <w:rsid w:val="00A341BC"/>
    <w:rsid w:val="00A34620"/>
    <w:rsid w:val="00A355E0"/>
    <w:rsid w:val="00A356A5"/>
    <w:rsid w:val="00A362F1"/>
    <w:rsid w:val="00A37280"/>
    <w:rsid w:val="00A379F4"/>
    <w:rsid w:val="00A4059E"/>
    <w:rsid w:val="00A4061D"/>
    <w:rsid w:val="00A40633"/>
    <w:rsid w:val="00A40F05"/>
    <w:rsid w:val="00A42B35"/>
    <w:rsid w:val="00A439C2"/>
    <w:rsid w:val="00A43E73"/>
    <w:rsid w:val="00A45385"/>
    <w:rsid w:val="00A45653"/>
    <w:rsid w:val="00A45B8C"/>
    <w:rsid w:val="00A45C77"/>
    <w:rsid w:val="00A46831"/>
    <w:rsid w:val="00A46F49"/>
    <w:rsid w:val="00A47694"/>
    <w:rsid w:val="00A47A32"/>
    <w:rsid w:val="00A47FC1"/>
    <w:rsid w:val="00A51AED"/>
    <w:rsid w:val="00A52034"/>
    <w:rsid w:val="00A520F1"/>
    <w:rsid w:val="00A521F8"/>
    <w:rsid w:val="00A53A04"/>
    <w:rsid w:val="00A53D8B"/>
    <w:rsid w:val="00A54CA9"/>
    <w:rsid w:val="00A559EA"/>
    <w:rsid w:val="00A5606D"/>
    <w:rsid w:val="00A56925"/>
    <w:rsid w:val="00A577D5"/>
    <w:rsid w:val="00A57AE6"/>
    <w:rsid w:val="00A57B65"/>
    <w:rsid w:val="00A6044C"/>
    <w:rsid w:val="00A60576"/>
    <w:rsid w:val="00A60AF3"/>
    <w:rsid w:val="00A61015"/>
    <w:rsid w:val="00A6217A"/>
    <w:rsid w:val="00A62751"/>
    <w:rsid w:val="00A64446"/>
    <w:rsid w:val="00A64834"/>
    <w:rsid w:val="00A651BA"/>
    <w:rsid w:val="00A65884"/>
    <w:rsid w:val="00A65B45"/>
    <w:rsid w:val="00A65D1A"/>
    <w:rsid w:val="00A66054"/>
    <w:rsid w:val="00A67844"/>
    <w:rsid w:val="00A717C8"/>
    <w:rsid w:val="00A7260E"/>
    <w:rsid w:val="00A726A8"/>
    <w:rsid w:val="00A72A64"/>
    <w:rsid w:val="00A72DA3"/>
    <w:rsid w:val="00A735EC"/>
    <w:rsid w:val="00A735F2"/>
    <w:rsid w:val="00A73D3C"/>
    <w:rsid w:val="00A73E2C"/>
    <w:rsid w:val="00A7420C"/>
    <w:rsid w:val="00A74606"/>
    <w:rsid w:val="00A7487A"/>
    <w:rsid w:val="00A74BB7"/>
    <w:rsid w:val="00A74E44"/>
    <w:rsid w:val="00A75632"/>
    <w:rsid w:val="00A75C85"/>
    <w:rsid w:val="00A75E86"/>
    <w:rsid w:val="00A76EEA"/>
    <w:rsid w:val="00A771FD"/>
    <w:rsid w:val="00A77367"/>
    <w:rsid w:val="00A77687"/>
    <w:rsid w:val="00A77C25"/>
    <w:rsid w:val="00A806A2"/>
    <w:rsid w:val="00A8074B"/>
    <w:rsid w:val="00A810B0"/>
    <w:rsid w:val="00A8118E"/>
    <w:rsid w:val="00A81237"/>
    <w:rsid w:val="00A83623"/>
    <w:rsid w:val="00A842FB"/>
    <w:rsid w:val="00A84F1F"/>
    <w:rsid w:val="00A84FCB"/>
    <w:rsid w:val="00A85E79"/>
    <w:rsid w:val="00A85FA5"/>
    <w:rsid w:val="00A86244"/>
    <w:rsid w:val="00A86ED2"/>
    <w:rsid w:val="00A87324"/>
    <w:rsid w:val="00A87838"/>
    <w:rsid w:val="00A87ADC"/>
    <w:rsid w:val="00A9071A"/>
    <w:rsid w:val="00A90863"/>
    <w:rsid w:val="00A90FEE"/>
    <w:rsid w:val="00A9234E"/>
    <w:rsid w:val="00A92447"/>
    <w:rsid w:val="00A9254C"/>
    <w:rsid w:val="00A93DA5"/>
    <w:rsid w:val="00A947AA"/>
    <w:rsid w:val="00A95973"/>
    <w:rsid w:val="00A95BBD"/>
    <w:rsid w:val="00A95F11"/>
    <w:rsid w:val="00A9663C"/>
    <w:rsid w:val="00A96A2E"/>
    <w:rsid w:val="00A9786F"/>
    <w:rsid w:val="00AA00DD"/>
    <w:rsid w:val="00AA0626"/>
    <w:rsid w:val="00AA1074"/>
    <w:rsid w:val="00AA1F5C"/>
    <w:rsid w:val="00AA218B"/>
    <w:rsid w:val="00AA2766"/>
    <w:rsid w:val="00AA2AA9"/>
    <w:rsid w:val="00AA3111"/>
    <w:rsid w:val="00AA42AA"/>
    <w:rsid w:val="00AA45EA"/>
    <w:rsid w:val="00AA5879"/>
    <w:rsid w:val="00AA61D8"/>
    <w:rsid w:val="00AA69AC"/>
    <w:rsid w:val="00AA6D13"/>
    <w:rsid w:val="00AA6EB8"/>
    <w:rsid w:val="00AA6F52"/>
    <w:rsid w:val="00AB0E57"/>
    <w:rsid w:val="00AB1864"/>
    <w:rsid w:val="00AB20F2"/>
    <w:rsid w:val="00AB230F"/>
    <w:rsid w:val="00AB243B"/>
    <w:rsid w:val="00AB2EAC"/>
    <w:rsid w:val="00AB3184"/>
    <w:rsid w:val="00AB5490"/>
    <w:rsid w:val="00AB5B8D"/>
    <w:rsid w:val="00AB681F"/>
    <w:rsid w:val="00AB6B1B"/>
    <w:rsid w:val="00AB6C94"/>
    <w:rsid w:val="00AB738E"/>
    <w:rsid w:val="00AB7759"/>
    <w:rsid w:val="00AC09F7"/>
    <w:rsid w:val="00AC0E50"/>
    <w:rsid w:val="00AC0F3D"/>
    <w:rsid w:val="00AC18E3"/>
    <w:rsid w:val="00AC1F63"/>
    <w:rsid w:val="00AC229B"/>
    <w:rsid w:val="00AC2C91"/>
    <w:rsid w:val="00AC33CB"/>
    <w:rsid w:val="00AC3494"/>
    <w:rsid w:val="00AC4BF7"/>
    <w:rsid w:val="00AC536A"/>
    <w:rsid w:val="00AC6478"/>
    <w:rsid w:val="00AC67A0"/>
    <w:rsid w:val="00AC697C"/>
    <w:rsid w:val="00AD005E"/>
    <w:rsid w:val="00AD0599"/>
    <w:rsid w:val="00AD0D47"/>
    <w:rsid w:val="00AD1D6D"/>
    <w:rsid w:val="00AD2211"/>
    <w:rsid w:val="00AD38DD"/>
    <w:rsid w:val="00AD3C8B"/>
    <w:rsid w:val="00AD40FF"/>
    <w:rsid w:val="00AD4AA7"/>
    <w:rsid w:val="00AD4BDD"/>
    <w:rsid w:val="00AD50B5"/>
    <w:rsid w:val="00AD5FA3"/>
    <w:rsid w:val="00AD670B"/>
    <w:rsid w:val="00AD6C18"/>
    <w:rsid w:val="00AD6E1D"/>
    <w:rsid w:val="00AD76D2"/>
    <w:rsid w:val="00AD7C82"/>
    <w:rsid w:val="00AD7E19"/>
    <w:rsid w:val="00AE002F"/>
    <w:rsid w:val="00AE064E"/>
    <w:rsid w:val="00AE0725"/>
    <w:rsid w:val="00AE0CDB"/>
    <w:rsid w:val="00AE2184"/>
    <w:rsid w:val="00AE21DB"/>
    <w:rsid w:val="00AE40D2"/>
    <w:rsid w:val="00AE4C02"/>
    <w:rsid w:val="00AE5224"/>
    <w:rsid w:val="00AE54F0"/>
    <w:rsid w:val="00AE56C1"/>
    <w:rsid w:val="00AE6104"/>
    <w:rsid w:val="00AE621D"/>
    <w:rsid w:val="00AE63D6"/>
    <w:rsid w:val="00AE6EE5"/>
    <w:rsid w:val="00AE70AB"/>
    <w:rsid w:val="00AE71F4"/>
    <w:rsid w:val="00AF0839"/>
    <w:rsid w:val="00AF08A1"/>
    <w:rsid w:val="00AF0B2A"/>
    <w:rsid w:val="00AF2B7E"/>
    <w:rsid w:val="00AF3006"/>
    <w:rsid w:val="00AF33A3"/>
    <w:rsid w:val="00AF3575"/>
    <w:rsid w:val="00AF4D3A"/>
    <w:rsid w:val="00AF4D88"/>
    <w:rsid w:val="00AF6222"/>
    <w:rsid w:val="00AF6861"/>
    <w:rsid w:val="00AF6EBD"/>
    <w:rsid w:val="00AF75F5"/>
    <w:rsid w:val="00AF79C4"/>
    <w:rsid w:val="00B004FE"/>
    <w:rsid w:val="00B00EC2"/>
    <w:rsid w:val="00B00F79"/>
    <w:rsid w:val="00B02F37"/>
    <w:rsid w:val="00B03B0C"/>
    <w:rsid w:val="00B03DF7"/>
    <w:rsid w:val="00B04590"/>
    <w:rsid w:val="00B054CA"/>
    <w:rsid w:val="00B05FBB"/>
    <w:rsid w:val="00B06DD3"/>
    <w:rsid w:val="00B07970"/>
    <w:rsid w:val="00B079E1"/>
    <w:rsid w:val="00B110A2"/>
    <w:rsid w:val="00B11627"/>
    <w:rsid w:val="00B11685"/>
    <w:rsid w:val="00B11BCC"/>
    <w:rsid w:val="00B11C7F"/>
    <w:rsid w:val="00B12219"/>
    <w:rsid w:val="00B1223D"/>
    <w:rsid w:val="00B12C62"/>
    <w:rsid w:val="00B12E1C"/>
    <w:rsid w:val="00B1306A"/>
    <w:rsid w:val="00B13BB3"/>
    <w:rsid w:val="00B147B4"/>
    <w:rsid w:val="00B14BBD"/>
    <w:rsid w:val="00B15733"/>
    <w:rsid w:val="00B166EF"/>
    <w:rsid w:val="00B167E9"/>
    <w:rsid w:val="00B1734C"/>
    <w:rsid w:val="00B17E2A"/>
    <w:rsid w:val="00B202DF"/>
    <w:rsid w:val="00B203F4"/>
    <w:rsid w:val="00B205C4"/>
    <w:rsid w:val="00B20F90"/>
    <w:rsid w:val="00B21450"/>
    <w:rsid w:val="00B21465"/>
    <w:rsid w:val="00B2171F"/>
    <w:rsid w:val="00B21EE2"/>
    <w:rsid w:val="00B21F14"/>
    <w:rsid w:val="00B228E9"/>
    <w:rsid w:val="00B22C4E"/>
    <w:rsid w:val="00B241E8"/>
    <w:rsid w:val="00B25445"/>
    <w:rsid w:val="00B25DF0"/>
    <w:rsid w:val="00B25E0D"/>
    <w:rsid w:val="00B262DD"/>
    <w:rsid w:val="00B26708"/>
    <w:rsid w:val="00B2683B"/>
    <w:rsid w:val="00B26A00"/>
    <w:rsid w:val="00B27212"/>
    <w:rsid w:val="00B2794A"/>
    <w:rsid w:val="00B27ECF"/>
    <w:rsid w:val="00B3013D"/>
    <w:rsid w:val="00B30DAA"/>
    <w:rsid w:val="00B3159B"/>
    <w:rsid w:val="00B31F8B"/>
    <w:rsid w:val="00B32759"/>
    <w:rsid w:val="00B32999"/>
    <w:rsid w:val="00B32D09"/>
    <w:rsid w:val="00B36FF8"/>
    <w:rsid w:val="00B372FF"/>
    <w:rsid w:val="00B4019F"/>
    <w:rsid w:val="00B40FB3"/>
    <w:rsid w:val="00B41BF8"/>
    <w:rsid w:val="00B41DF7"/>
    <w:rsid w:val="00B423CB"/>
    <w:rsid w:val="00B42921"/>
    <w:rsid w:val="00B42DC0"/>
    <w:rsid w:val="00B431CF"/>
    <w:rsid w:val="00B44D99"/>
    <w:rsid w:val="00B45264"/>
    <w:rsid w:val="00B45282"/>
    <w:rsid w:val="00B45482"/>
    <w:rsid w:val="00B45587"/>
    <w:rsid w:val="00B45B76"/>
    <w:rsid w:val="00B45CBE"/>
    <w:rsid w:val="00B46267"/>
    <w:rsid w:val="00B47792"/>
    <w:rsid w:val="00B50C96"/>
    <w:rsid w:val="00B51E94"/>
    <w:rsid w:val="00B5285E"/>
    <w:rsid w:val="00B52BEE"/>
    <w:rsid w:val="00B53B05"/>
    <w:rsid w:val="00B54557"/>
    <w:rsid w:val="00B54D03"/>
    <w:rsid w:val="00B5598E"/>
    <w:rsid w:val="00B56136"/>
    <w:rsid w:val="00B57118"/>
    <w:rsid w:val="00B6152F"/>
    <w:rsid w:val="00B617ED"/>
    <w:rsid w:val="00B636DB"/>
    <w:rsid w:val="00B6373D"/>
    <w:rsid w:val="00B637BC"/>
    <w:rsid w:val="00B63944"/>
    <w:rsid w:val="00B648AB"/>
    <w:rsid w:val="00B666DB"/>
    <w:rsid w:val="00B67602"/>
    <w:rsid w:val="00B6761C"/>
    <w:rsid w:val="00B700A1"/>
    <w:rsid w:val="00B7036A"/>
    <w:rsid w:val="00B70DBC"/>
    <w:rsid w:val="00B71502"/>
    <w:rsid w:val="00B719F6"/>
    <w:rsid w:val="00B72975"/>
    <w:rsid w:val="00B72D8D"/>
    <w:rsid w:val="00B72E42"/>
    <w:rsid w:val="00B73210"/>
    <w:rsid w:val="00B747BA"/>
    <w:rsid w:val="00B74976"/>
    <w:rsid w:val="00B74CE8"/>
    <w:rsid w:val="00B74DB7"/>
    <w:rsid w:val="00B7509B"/>
    <w:rsid w:val="00B75D65"/>
    <w:rsid w:val="00B76BB1"/>
    <w:rsid w:val="00B770CF"/>
    <w:rsid w:val="00B77DB5"/>
    <w:rsid w:val="00B80BE7"/>
    <w:rsid w:val="00B81C79"/>
    <w:rsid w:val="00B81F56"/>
    <w:rsid w:val="00B82262"/>
    <w:rsid w:val="00B8327D"/>
    <w:rsid w:val="00B83FA5"/>
    <w:rsid w:val="00B844BC"/>
    <w:rsid w:val="00B848E6"/>
    <w:rsid w:val="00B84D66"/>
    <w:rsid w:val="00B85172"/>
    <w:rsid w:val="00B86141"/>
    <w:rsid w:val="00B864F3"/>
    <w:rsid w:val="00B86D30"/>
    <w:rsid w:val="00B87884"/>
    <w:rsid w:val="00B879E9"/>
    <w:rsid w:val="00B90E60"/>
    <w:rsid w:val="00B90E99"/>
    <w:rsid w:val="00B90EAD"/>
    <w:rsid w:val="00B919A8"/>
    <w:rsid w:val="00B92732"/>
    <w:rsid w:val="00B92873"/>
    <w:rsid w:val="00B92D12"/>
    <w:rsid w:val="00B935CC"/>
    <w:rsid w:val="00B94284"/>
    <w:rsid w:val="00B94F65"/>
    <w:rsid w:val="00B950FE"/>
    <w:rsid w:val="00B95489"/>
    <w:rsid w:val="00B955D9"/>
    <w:rsid w:val="00B95F7B"/>
    <w:rsid w:val="00BA0D21"/>
    <w:rsid w:val="00BA0D56"/>
    <w:rsid w:val="00BA1013"/>
    <w:rsid w:val="00BA1CD6"/>
    <w:rsid w:val="00BA20FD"/>
    <w:rsid w:val="00BA2AD6"/>
    <w:rsid w:val="00BA391F"/>
    <w:rsid w:val="00BA397A"/>
    <w:rsid w:val="00BA397D"/>
    <w:rsid w:val="00BA3CBF"/>
    <w:rsid w:val="00BA4F94"/>
    <w:rsid w:val="00BA5C85"/>
    <w:rsid w:val="00BA5FFC"/>
    <w:rsid w:val="00BA788B"/>
    <w:rsid w:val="00BA799F"/>
    <w:rsid w:val="00BB0209"/>
    <w:rsid w:val="00BB0675"/>
    <w:rsid w:val="00BB09C4"/>
    <w:rsid w:val="00BB20A5"/>
    <w:rsid w:val="00BB26A1"/>
    <w:rsid w:val="00BB348D"/>
    <w:rsid w:val="00BB523B"/>
    <w:rsid w:val="00BB589D"/>
    <w:rsid w:val="00BB6E6E"/>
    <w:rsid w:val="00BB711C"/>
    <w:rsid w:val="00BC0456"/>
    <w:rsid w:val="00BC0E5D"/>
    <w:rsid w:val="00BC11B4"/>
    <w:rsid w:val="00BC1467"/>
    <w:rsid w:val="00BC18F3"/>
    <w:rsid w:val="00BC29F1"/>
    <w:rsid w:val="00BC2A0B"/>
    <w:rsid w:val="00BC2D55"/>
    <w:rsid w:val="00BC2D76"/>
    <w:rsid w:val="00BC3883"/>
    <w:rsid w:val="00BC3B4F"/>
    <w:rsid w:val="00BC48F0"/>
    <w:rsid w:val="00BC4F20"/>
    <w:rsid w:val="00BC66F8"/>
    <w:rsid w:val="00BC6856"/>
    <w:rsid w:val="00BC797F"/>
    <w:rsid w:val="00BC7FF0"/>
    <w:rsid w:val="00BD0715"/>
    <w:rsid w:val="00BD1BDB"/>
    <w:rsid w:val="00BD2554"/>
    <w:rsid w:val="00BD29B0"/>
    <w:rsid w:val="00BD2FC8"/>
    <w:rsid w:val="00BD332F"/>
    <w:rsid w:val="00BD3D62"/>
    <w:rsid w:val="00BD4200"/>
    <w:rsid w:val="00BD4444"/>
    <w:rsid w:val="00BD4F45"/>
    <w:rsid w:val="00BD60FF"/>
    <w:rsid w:val="00BD6DB3"/>
    <w:rsid w:val="00BD7961"/>
    <w:rsid w:val="00BD7A91"/>
    <w:rsid w:val="00BD7E53"/>
    <w:rsid w:val="00BE0139"/>
    <w:rsid w:val="00BE0505"/>
    <w:rsid w:val="00BE0E99"/>
    <w:rsid w:val="00BE1068"/>
    <w:rsid w:val="00BE3070"/>
    <w:rsid w:val="00BE3CB2"/>
    <w:rsid w:val="00BE49DD"/>
    <w:rsid w:val="00BE5A09"/>
    <w:rsid w:val="00BE65CA"/>
    <w:rsid w:val="00BE66B3"/>
    <w:rsid w:val="00BE6744"/>
    <w:rsid w:val="00BE6A1F"/>
    <w:rsid w:val="00BE6C87"/>
    <w:rsid w:val="00BF02C5"/>
    <w:rsid w:val="00BF07F0"/>
    <w:rsid w:val="00BF11C9"/>
    <w:rsid w:val="00BF16B9"/>
    <w:rsid w:val="00BF23EE"/>
    <w:rsid w:val="00BF252B"/>
    <w:rsid w:val="00BF2AA2"/>
    <w:rsid w:val="00BF2AB6"/>
    <w:rsid w:val="00BF3689"/>
    <w:rsid w:val="00BF55C4"/>
    <w:rsid w:val="00BF5BE9"/>
    <w:rsid w:val="00BF6477"/>
    <w:rsid w:val="00BF6778"/>
    <w:rsid w:val="00BF7263"/>
    <w:rsid w:val="00BF72A7"/>
    <w:rsid w:val="00BF7CEC"/>
    <w:rsid w:val="00C009E8"/>
    <w:rsid w:val="00C016C8"/>
    <w:rsid w:val="00C019F2"/>
    <w:rsid w:val="00C02B5D"/>
    <w:rsid w:val="00C034F8"/>
    <w:rsid w:val="00C03576"/>
    <w:rsid w:val="00C03642"/>
    <w:rsid w:val="00C05403"/>
    <w:rsid w:val="00C05965"/>
    <w:rsid w:val="00C05D2E"/>
    <w:rsid w:val="00C07D26"/>
    <w:rsid w:val="00C106E8"/>
    <w:rsid w:val="00C10CE9"/>
    <w:rsid w:val="00C10FF6"/>
    <w:rsid w:val="00C118D1"/>
    <w:rsid w:val="00C127E9"/>
    <w:rsid w:val="00C13C5E"/>
    <w:rsid w:val="00C14863"/>
    <w:rsid w:val="00C14B3A"/>
    <w:rsid w:val="00C15B6F"/>
    <w:rsid w:val="00C1714D"/>
    <w:rsid w:val="00C1762D"/>
    <w:rsid w:val="00C17833"/>
    <w:rsid w:val="00C20481"/>
    <w:rsid w:val="00C20524"/>
    <w:rsid w:val="00C2187A"/>
    <w:rsid w:val="00C218AF"/>
    <w:rsid w:val="00C21A42"/>
    <w:rsid w:val="00C2264A"/>
    <w:rsid w:val="00C23273"/>
    <w:rsid w:val="00C23729"/>
    <w:rsid w:val="00C23EFB"/>
    <w:rsid w:val="00C24AEB"/>
    <w:rsid w:val="00C24F78"/>
    <w:rsid w:val="00C25454"/>
    <w:rsid w:val="00C268E2"/>
    <w:rsid w:val="00C27943"/>
    <w:rsid w:val="00C27AD1"/>
    <w:rsid w:val="00C30E73"/>
    <w:rsid w:val="00C30F24"/>
    <w:rsid w:val="00C30FB4"/>
    <w:rsid w:val="00C31192"/>
    <w:rsid w:val="00C311FB"/>
    <w:rsid w:val="00C31756"/>
    <w:rsid w:val="00C328FA"/>
    <w:rsid w:val="00C332D3"/>
    <w:rsid w:val="00C33836"/>
    <w:rsid w:val="00C33913"/>
    <w:rsid w:val="00C33A0D"/>
    <w:rsid w:val="00C33D4D"/>
    <w:rsid w:val="00C342F9"/>
    <w:rsid w:val="00C34533"/>
    <w:rsid w:val="00C3475D"/>
    <w:rsid w:val="00C35BD3"/>
    <w:rsid w:val="00C35CF5"/>
    <w:rsid w:val="00C36659"/>
    <w:rsid w:val="00C36711"/>
    <w:rsid w:val="00C36C98"/>
    <w:rsid w:val="00C37208"/>
    <w:rsid w:val="00C40ECC"/>
    <w:rsid w:val="00C41244"/>
    <w:rsid w:val="00C42636"/>
    <w:rsid w:val="00C43C52"/>
    <w:rsid w:val="00C4478E"/>
    <w:rsid w:val="00C44B30"/>
    <w:rsid w:val="00C450F7"/>
    <w:rsid w:val="00C454B8"/>
    <w:rsid w:val="00C45AC9"/>
    <w:rsid w:val="00C45F26"/>
    <w:rsid w:val="00C4658C"/>
    <w:rsid w:val="00C46AA9"/>
    <w:rsid w:val="00C46B3D"/>
    <w:rsid w:val="00C47450"/>
    <w:rsid w:val="00C47910"/>
    <w:rsid w:val="00C47E1A"/>
    <w:rsid w:val="00C50071"/>
    <w:rsid w:val="00C51404"/>
    <w:rsid w:val="00C51A3E"/>
    <w:rsid w:val="00C51B36"/>
    <w:rsid w:val="00C52093"/>
    <w:rsid w:val="00C521FB"/>
    <w:rsid w:val="00C54215"/>
    <w:rsid w:val="00C54C7B"/>
    <w:rsid w:val="00C5653E"/>
    <w:rsid w:val="00C56ADA"/>
    <w:rsid w:val="00C57B43"/>
    <w:rsid w:val="00C609E2"/>
    <w:rsid w:val="00C60A77"/>
    <w:rsid w:val="00C612C3"/>
    <w:rsid w:val="00C61FDD"/>
    <w:rsid w:val="00C62150"/>
    <w:rsid w:val="00C62BFF"/>
    <w:rsid w:val="00C631CF"/>
    <w:rsid w:val="00C64724"/>
    <w:rsid w:val="00C64F1A"/>
    <w:rsid w:val="00C65153"/>
    <w:rsid w:val="00C6591B"/>
    <w:rsid w:val="00C66C04"/>
    <w:rsid w:val="00C67029"/>
    <w:rsid w:val="00C6752E"/>
    <w:rsid w:val="00C67686"/>
    <w:rsid w:val="00C67B21"/>
    <w:rsid w:val="00C67B38"/>
    <w:rsid w:val="00C702E7"/>
    <w:rsid w:val="00C715C6"/>
    <w:rsid w:val="00C72A54"/>
    <w:rsid w:val="00C72A58"/>
    <w:rsid w:val="00C72B96"/>
    <w:rsid w:val="00C732B5"/>
    <w:rsid w:val="00C748D0"/>
    <w:rsid w:val="00C74C1F"/>
    <w:rsid w:val="00C75B8B"/>
    <w:rsid w:val="00C7635A"/>
    <w:rsid w:val="00C76C10"/>
    <w:rsid w:val="00C77974"/>
    <w:rsid w:val="00C801C0"/>
    <w:rsid w:val="00C80C02"/>
    <w:rsid w:val="00C81055"/>
    <w:rsid w:val="00C82761"/>
    <w:rsid w:val="00C82DFC"/>
    <w:rsid w:val="00C83CD4"/>
    <w:rsid w:val="00C83E37"/>
    <w:rsid w:val="00C844E6"/>
    <w:rsid w:val="00C85834"/>
    <w:rsid w:val="00C85A40"/>
    <w:rsid w:val="00C85B8A"/>
    <w:rsid w:val="00C85DEB"/>
    <w:rsid w:val="00C86172"/>
    <w:rsid w:val="00C86C6B"/>
    <w:rsid w:val="00C876C3"/>
    <w:rsid w:val="00C907FE"/>
    <w:rsid w:val="00C90879"/>
    <w:rsid w:val="00C90EEA"/>
    <w:rsid w:val="00C9108A"/>
    <w:rsid w:val="00C91440"/>
    <w:rsid w:val="00C91FA7"/>
    <w:rsid w:val="00C9225B"/>
    <w:rsid w:val="00C926F9"/>
    <w:rsid w:val="00C92B9E"/>
    <w:rsid w:val="00C934AB"/>
    <w:rsid w:val="00C93CC3"/>
    <w:rsid w:val="00C9408D"/>
    <w:rsid w:val="00C940B9"/>
    <w:rsid w:val="00C97FB2"/>
    <w:rsid w:val="00CA0CF0"/>
    <w:rsid w:val="00CA1B09"/>
    <w:rsid w:val="00CA1C83"/>
    <w:rsid w:val="00CA3714"/>
    <w:rsid w:val="00CA46A1"/>
    <w:rsid w:val="00CA4798"/>
    <w:rsid w:val="00CA4DF1"/>
    <w:rsid w:val="00CA4E23"/>
    <w:rsid w:val="00CA539C"/>
    <w:rsid w:val="00CB0AC3"/>
    <w:rsid w:val="00CB0C33"/>
    <w:rsid w:val="00CB0D99"/>
    <w:rsid w:val="00CB1240"/>
    <w:rsid w:val="00CB24C4"/>
    <w:rsid w:val="00CB2743"/>
    <w:rsid w:val="00CB2ADE"/>
    <w:rsid w:val="00CB2C1E"/>
    <w:rsid w:val="00CB3D2D"/>
    <w:rsid w:val="00CB4BF5"/>
    <w:rsid w:val="00CB655E"/>
    <w:rsid w:val="00CB65CA"/>
    <w:rsid w:val="00CB6920"/>
    <w:rsid w:val="00CB7338"/>
    <w:rsid w:val="00CC01ED"/>
    <w:rsid w:val="00CC0ADE"/>
    <w:rsid w:val="00CC15BE"/>
    <w:rsid w:val="00CC2E41"/>
    <w:rsid w:val="00CC39FF"/>
    <w:rsid w:val="00CC42E9"/>
    <w:rsid w:val="00CC5009"/>
    <w:rsid w:val="00CC6694"/>
    <w:rsid w:val="00CC78A0"/>
    <w:rsid w:val="00CD03CA"/>
    <w:rsid w:val="00CD0625"/>
    <w:rsid w:val="00CD0A48"/>
    <w:rsid w:val="00CD0D3C"/>
    <w:rsid w:val="00CD104C"/>
    <w:rsid w:val="00CD144F"/>
    <w:rsid w:val="00CD22A6"/>
    <w:rsid w:val="00CD2699"/>
    <w:rsid w:val="00CD2D3F"/>
    <w:rsid w:val="00CD2DD3"/>
    <w:rsid w:val="00CD30FC"/>
    <w:rsid w:val="00CD353D"/>
    <w:rsid w:val="00CD3836"/>
    <w:rsid w:val="00CD455F"/>
    <w:rsid w:val="00CD58B0"/>
    <w:rsid w:val="00CD5957"/>
    <w:rsid w:val="00CD5BCE"/>
    <w:rsid w:val="00CD5C34"/>
    <w:rsid w:val="00CD7259"/>
    <w:rsid w:val="00CD7FD9"/>
    <w:rsid w:val="00CE0551"/>
    <w:rsid w:val="00CE0DD9"/>
    <w:rsid w:val="00CE24E9"/>
    <w:rsid w:val="00CE2E76"/>
    <w:rsid w:val="00CE3E49"/>
    <w:rsid w:val="00CE56D3"/>
    <w:rsid w:val="00CE5B4B"/>
    <w:rsid w:val="00CE5BB1"/>
    <w:rsid w:val="00CE6183"/>
    <w:rsid w:val="00CE6BAB"/>
    <w:rsid w:val="00CE7258"/>
    <w:rsid w:val="00CE7AD4"/>
    <w:rsid w:val="00CF007F"/>
    <w:rsid w:val="00CF0366"/>
    <w:rsid w:val="00CF07D5"/>
    <w:rsid w:val="00CF0AE1"/>
    <w:rsid w:val="00CF0CAC"/>
    <w:rsid w:val="00CF0F25"/>
    <w:rsid w:val="00CF188E"/>
    <w:rsid w:val="00CF1CD9"/>
    <w:rsid w:val="00CF2392"/>
    <w:rsid w:val="00CF2482"/>
    <w:rsid w:val="00CF27CC"/>
    <w:rsid w:val="00CF2E9D"/>
    <w:rsid w:val="00CF3746"/>
    <w:rsid w:val="00CF3976"/>
    <w:rsid w:val="00CF3CE5"/>
    <w:rsid w:val="00CF4D56"/>
    <w:rsid w:val="00CF5496"/>
    <w:rsid w:val="00CF5BDA"/>
    <w:rsid w:val="00CF6545"/>
    <w:rsid w:val="00CF6B57"/>
    <w:rsid w:val="00CF6E68"/>
    <w:rsid w:val="00CF7A92"/>
    <w:rsid w:val="00D00107"/>
    <w:rsid w:val="00D002D2"/>
    <w:rsid w:val="00D00F52"/>
    <w:rsid w:val="00D0162E"/>
    <w:rsid w:val="00D0231D"/>
    <w:rsid w:val="00D02349"/>
    <w:rsid w:val="00D02630"/>
    <w:rsid w:val="00D02FB5"/>
    <w:rsid w:val="00D031D8"/>
    <w:rsid w:val="00D036D6"/>
    <w:rsid w:val="00D03E3C"/>
    <w:rsid w:val="00D04B5B"/>
    <w:rsid w:val="00D04CA6"/>
    <w:rsid w:val="00D05DEB"/>
    <w:rsid w:val="00D0697A"/>
    <w:rsid w:val="00D10B49"/>
    <w:rsid w:val="00D12FC6"/>
    <w:rsid w:val="00D135F7"/>
    <w:rsid w:val="00D1411D"/>
    <w:rsid w:val="00D143B2"/>
    <w:rsid w:val="00D145C5"/>
    <w:rsid w:val="00D14F70"/>
    <w:rsid w:val="00D15CCE"/>
    <w:rsid w:val="00D16189"/>
    <w:rsid w:val="00D166D6"/>
    <w:rsid w:val="00D17FD2"/>
    <w:rsid w:val="00D20598"/>
    <w:rsid w:val="00D205E5"/>
    <w:rsid w:val="00D207D8"/>
    <w:rsid w:val="00D210CA"/>
    <w:rsid w:val="00D212D3"/>
    <w:rsid w:val="00D23408"/>
    <w:rsid w:val="00D2559D"/>
    <w:rsid w:val="00D25751"/>
    <w:rsid w:val="00D25FEE"/>
    <w:rsid w:val="00D2677F"/>
    <w:rsid w:val="00D26C50"/>
    <w:rsid w:val="00D26DEC"/>
    <w:rsid w:val="00D26F7D"/>
    <w:rsid w:val="00D27B4D"/>
    <w:rsid w:val="00D27F5D"/>
    <w:rsid w:val="00D30571"/>
    <w:rsid w:val="00D30630"/>
    <w:rsid w:val="00D30F04"/>
    <w:rsid w:val="00D30F5C"/>
    <w:rsid w:val="00D310FA"/>
    <w:rsid w:val="00D3157D"/>
    <w:rsid w:val="00D315E9"/>
    <w:rsid w:val="00D31BAA"/>
    <w:rsid w:val="00D3219B"/>
    <w:rsid w:val="00D3325B"/>
    <w:rsid w:val="00D34671"/>
    <w:rsid w:val="00D34FE4"/>
    <w:rsid w:val="00D357BD"/>
    <w:rsid w:val="00D35811"/>
    <w:rsid w:val="00D36992"/>
    <w:rsid w:val="00D3703C"/>
    <w:rsid w:val="00D4005A"/>
    <w:rsid w:val="00D4047B"/>
    <w:rsid w:val="00D411F5"/>
    <w:rsid w:val="00D4182C"/>
    <w:rsid w:val="00D41B1C"/>
    <w:rsid w:val="00D42211"/>
    <w:rsid w:val="00D4294F"/>
    <w:rsid w:val="00D42A39"/>
    <w:rsid w:val="00D42F80"/>
    <w:rsid w:val="00D435F6"/>
    <w:rsid w:val="00D43BE2"/>
    <w:rsid w:val="00D43FDD"/>
    <w:rsid w:val="00D44009"/>
    <w:rsid w:val="00D442D0"/>
    <w:rsid w:val="00D444CA"/>
    <w:rsid w:val="00D44C3D"/>
    <w:rsid w:val="00D44EDC"/>
    <w:rsid w:val="00D454A9"/>
    <w:rsid w:val="00D461F6"/>
    <w:rsid w:val="00D462D7"/>
    <w:rsid w:val="00D46859"/>
    <w:rsid w:val="00D4690C"/>
    <w:rsid w:val="00D46917"/>
    <w:rsid w:val="00D46AC7"/>
    <w:rsid w:val="00D47E99"/>
    <w:rsid w:val="00D47EAA"/>
    <w:rsid w:val="00D50AC1"/>
    <w:rsid w:val="00D50D4F"/>
    <w:rsid w:val="00D51CC9"/>
    <w:rsid w:val="00D528F5"/>
    <w:rsid w:val="00D52BC3"/>
    <w:rsid w:val="00D530B2"/>
    <w:rsid w:val="00D534A1"/>
    <w:rsid w:val="00D53641"/>
    <w:rsid w:val="00D539D6"/>
    <w:rsid w:val="00D54087"/>
    <w:rsid w:val="00D540CB"/>
    <w:rsid w:val="00D543A4"/>
    <w:rsid w:val="00D54769"/>
    <w:rsid w:val="00D54897"/>
    <w:rsid w:val="00D56312"/>
    <w:rsid w:val="00D56FFD"/>
    <w:rsid w:val="00D60488"/>
    <w:rsid w:val="00D609BF"/>
    <w:rsid w:val="00D60D03"/>
    <w:rsid w:val="00D61378"/>
    <w:rsid w:val="00D61778"/>
    <w:rsid w:val="00D61CBF"/>
    <w:rsid w:val="00D620AA"/>
    <w:rsid w:val="00D622D6"/>
    <w:rsid w:val="00D626B1"/>
    <w:rsid w:val="00D633ED"/>
    <w:rsid w:val="00D63759"/>
    <w:rsid w:val="00D642C4"/>
    <w:rsid w:val="00D643FD"/>
    <w:rsid w:val="00D64674"/>
    <w:rsid w:val="00D6483D"/>
    <w:rsid w:val="00D64A34"/>
    <w:rsid w:val="00D65577"/>
    <w:rsid w:val="00D655C2"/>
    <w:rsid w:val="00D6561D"/>
    <w:rsid w:val="00D656F6"/>
    <w:rsid w:val="00D66E5A"/>
    <w:rsid w:val="00D676FD"/>
    <w:rsid w:val="00D70344"/>
    <w:rsid w:val="00D70EED"/>
    <w:rsid w:val="00D70F65"/>
    <w:rsid w:val="00D72860"/>
    <w:rsid w:val="00D72F42"/>
    <w:rsid w:val="00D731FD"/>
    <w:rsid w:val="00D7599B"/>
    <w:rsid w:val="00D75CC8"/>
    <w:rsid w:val="00D773C3"/>
    <w:rsid w:val="00D8114B"/>
    <w:rsid w:val="00D81812"/>
    <w:rsid w:val="00D8197C"/>
    <w:rsid w:val="00D819F6"/>
    <w:rsid w:val="00D829A1"/>
    <w:rsid w:val="00D82B74"/>
    <w:rsid w:val="00D85582"/>
    <w:rsid w:val="00D85EA8"/>
    <w:rsid w:val="00D8616B"/>
    <w:rsid w:val="00D86406"/>
    <w:rsid w:val="00D86C22"/>
    <w:rsid w:val="00D86F09"/>
    <w:rsid w:val="00D8704D"/>
    <w:rsid w:val="00D87A66"/>
    <w:rsid w:val="00D87CAA"/>
    <w:rsid w:val="00D87E4B"/>
    <w:rsid w:val="00D90077"/>
    <w:rsid w:val="00D90701"/>
    <w:rsid w:val="00D90862"/>
    <w:rsid w:val="00D90B9D"/>
    <w:rsid w:val="00D918A5"/>
    <w:rsid w:val="00D920AD"/>
    <w:rsid w:val="00D92CC2"/>
    <w:rsid w:val="00D9312E"/>
    <w:rsid w:val="00D931EA"/>
    <w:rsid w:val="00D9387E"/>
    <w:rsid w:val="00D93E84"/>
    <w:rsid w:val="00D9416B"/>
    <w:rsid w:val="00D94AC4"/>
    <w:rsid w:val="00D955C3"/>
    <w:rsid w:val="00D9566C"/>
    <w:rsid w:val="00D967FE"/>
    <w:rsid w:val="00D97282"/>
    <w:rsid w:val="00D976D3"/>
    <w:rsid w:val="00D97BDA"/>
    <w:rsid w:val="00DA1050"/>
    <w:rsid w:val="00DA145C"/>
    <w:rsid w:val="00DA266B"/>
    <w:rsid w:val="00DA2C86"/>
    <w:rsid w:val="00DA34B5"/>
    <w:rsid w:val="00DA37CD"/>
    <w:rsid w:val="00DA41C7"/>
    <w:rsid w:val="00DA4A09"/>
    <w:rsid w:val="00DA4D85"/>
    <w:rsid w:val="00DA5FCD"/>
    <w:rsid w:val="00DA6643"/>
    <w:rsid w:val="00DA66CB"/>
    <w:rsid w:val="00DA7136"/>
    <w:rsid w:val="00DB001A"/>
    <w:rsid w:val="00DB1F0E"/>
    <w:rsid w:val="00DB1F72"/>
    <w:rsid w:val="00DB309E"/>
    <w:rsid w:val="00DB5C94"/>
    <w:rsid w:val="00DB6851"/>
    <w:rsid w:val="00DB6E85"/>
    <w:rsid w:val="00DB70F2"/>
    <w:rsid w:val="00DB7D3E"/>
    <w:rsid w:val="00DC16CE"/>
    <w:rsid w:val="00DC28CC"/>
    <w:rsid w:val="00DC2D53"/>
    <w:rsid w:val="00DC32CF"/>
    <w:rsid w:val="00DC3BF9"/>
    <w:rsid w:val="00DC4D55"/>
    <w:rsid w:val="00DC5CA2"/>
    <w:rsid w:val="00DC6002"/>
    <w:rsid w:val="00DC6C3A"/>
    <w:rsid w:val="00DC7EF1"/>
    <w:rsid w:val="00DD020E"/>
    <w:rsid w:val="00DD27A0"/>
    <w:rsid w:val="00DD2F00"/>
    <w:rsid w:val="00DD3417"/>
    <w:rsid w:val="00DD456F"/>
    <w:rsid w:val="00DD591F"/>
    <w:rsid w:val="00DD5A9A"/>
    <w:rsid w:val="00DD6B64"/>
    <w:rsid w:val="00DD6E3A"/>
    <w:rsid w:val="00DD73FC"/>
    <w:rsid w:val="00DE0250"/>
    <w:rsid w:val="00DE07FC"/>
    <w:rsid w:val="00DE21E9"/>
    <w:rsid w:val="00DE2E87"/>
    <w:rsid w:val="00DE3EE5"/>
    <w:rsid w:val="00DE408A"/>
    <w:rsid w:val="00DE4ACA"/>
    <w:rsid w:val="00DE4B65"/>
    <w:rsid w:val="00DE4FB3"/>
    <w:rsid w:val="00DE4FCA"/>
    <w:rsid w:val="00DE531E"/>
    <w:rsid w:val="00DE5469"/>
    <w:rsid w:val="00DE5672"/>
    <w:rsid w:val="00DE647A"/>
    <w:rsid w:val="00DE6532"/>
    <w:rsid w:val="00DE74D7"/>
    <w:rsid w:val="00DF02BF"/>
    <w:rsid w:val="00DF03EF"/>
    <w:rsid w:val="00DF09F9"/>
    <w:rsid w:val="00DF0C97"/>
    <w:rsid w:val="00DF16BC"/>
    <w:rsid w:val="00DF2476"/>
    <w:rsid w:val="00DF2BAE"/>
    <w:rsid w:val="00DF3CD6"/>
    <w:rsid w:val="00DF43FD"/>
    <w:rsid w:val="00DF460E"/>
    <w:rsid w:val="00DF4F32"/>
    <w:rsid w:val="00DF50FD"/>
    <w:rsid w:val="00DF526A"/>
    <w:rsid w:val="00DF59C9"/>
    <w:rsid w:val="00DF615D"/>
    <w:rsid w:val="00DF6D8A"/>
    <w:rsid w:val="00DF6DA1"/>
    <w:rsid w:val="00DF710C"/>
    <w:rsid w:val="00E003EE"/>
    <w:rsid w:val="00E00B4F"/>
    <w:rsid w:val="00E013C9"/>
    <w:rsid w:val="00E019AB"/>
    <w:rsid w:val="00E03475"/>
    <w:rsid w:val="00E065B8"/>
    <w:rsid w:val="00E06C88"/>
    <w:rsid w:val="00E070BF"/>
    <w:rsid w:val="00E07299"/>
    <w:rsid w:val="00E0783E"/>
    <w:rsid w:val="00E106AA"/>
    <w:rsid w:val="00E11050"/>
    <w:rsid w:val="00E12A7F"/>
    <w:rsid w:val="00E12AA0"/>
    <w:rsid w:val="00E12F5D"/>
    <w:rsid w:val="00E13E39"/>
    <w:rsid w:val="00E147B9"/>
    <w:rsid w:val="00E15229"/>
    <w:rsid w:val="00E155D9"/>
    <w:rsid w:val="00E15EC4"/>
    <w:rsid w:val="00E16357"/>
    <w:rsid w:val="00E17557"/>
    <w:rsid w:val="00E176FD"/>
    <w:rsid w:val="00E20570"/>
    <w:rsid w:val="00E20B06"/>
    <w:rsid w:val="00E20C63"/>
    <w:rsid w:val="00E20C83"/>
    <w:rsid w:val="00E20EB1"/>
    <w:rsid w:val="00E219D4"/>
    <w:rsid w:val="00E22926"/>
    <w:rsid w:val="00E23D22"/>
    <w:rsid w:val="00E23EE9"/>
    <w:rsid w:val="00E242AA"/>
    <w:rsid w:val="00E24402"/>
    <w:rsid w:val="00E244B4"/>
    <w:rsid w:val="00E244B8"/>
    <w:rsid w:val="00E24DC6"/>
    <w:rsid w:val="00E24E7E"/>
    <w:rsid w:val="00E2523F"/>
    <w:rsid w:val="00E25257"/>
    <w:rsid w:val="00E25703"/>
    <w:rsid w:val="00E25790"/>
    <w:rsid w:val="00E266D1"/>
    <w:rsid w:val="00E26C84"/>
    <w:rsid w:val="00E26F81"/>
    <w:rsid w:val="00E27002"/>
    <w:rsid w:val="00E274DC"/>
    <w:rsid w:val="00E3064F"/>
    <w:rsid w:val="00E313B7"/>
    <w:rsid w:val="00E31971"/>
    <w:rsid w:val="00E3199C"/>
    <w:rsid w:val="00E325EA"/>
    <w:rsid w:val="00E32EAB"/>
    <w:rsid w:val="00E33047"/>
    <w:rsid w:val="00E339A8"/>
    <w:rsid w:val="00E33DFA"/>
    <w:rsid w:val="00E33F41"/>
    <w:rsid w:val="00E346DE"/>
    <w:rsid w:val="00E349A0"/>
    <w:rsid w:val="00E34E3E"/>
    <w:rsid w:val="00E372CD"/>
    <w:rsid w:val="00E37C30"/>
    <w:rsid w:val="00E401BC"/>
    <w:rsid w:val="00E40B2C"/>
    <w:rsid w:val="00E40D0F"/>
    <w:rsid w:val="00E40E63"/>
    <w:rsid w:val="00E40FEA"/>
    <w:rsid w:val="00E42CB3"/>
    <w:rsid w:val="00E4322D"/>
    <w:rsid w:val="00E4347D"/>
    <w:rsid w:val="00E4561C"/>
    <w:rsid w:val="00E4595E"/>
    <w:rsid w:val="00E4611C"/>
    <w:rsid w:val="00E46F3B"/>
    <w:rsid w:val="00E47D45"/>
    <w:rsid w:val="00E51D18"/>
    <w:rsid w:val="00E5236D"/>
    <w:rsid w:val="00E52F8A"/>
    <w:rsid w:val="00E52FE7"/>
    <w:rsid w:val="00E534FC"/>
    <w:rsid w:val="00E53D43"/>
    <w:rsid w:val="00E541DE"/>
    <w:rsid w:val="00E54438"/>
    <w:rsid w:val="00E54880"/>
    <w:rsid w:val="00E54F0C"/>
    <w:rsid w:val="00E55992"/>
    <w:rsid w:val="00E55D3B"/>
    <w:rsid w:val="00E569B7"/>
    <w:rsid w:val="00E5790C"/>
    <w:rsid w:val="00E629DF"/>
    <w:rsid w:val="00E63729"/>
    <w:rsid w:val="00E63804"/>
    <w:rsid w:val="00E6594E"/>
    <w:rsid w:val="00E66648"/>
    <w:rsid w:val="00E667C0"/>
    <w:rsid w:val="00E7027C"/>
    <w:rsid w:val="00E70630"/>
    <w:rsid w:val="00E7212C"/>
    <w:rsid w:val="00E74B9C"/>
    <w:rsid w:val="00E74C70"/>
    <w:rsid w:val="00E752D1"/>
    <w:rsid w:val="00E75611"/>
    <w:rsid w:val="00E764E7"/>
    <w:rsid w:val="00E76BF8"/>
    <w:rsid w:val="00E778DF"/>
    <w:rsid w:val="00E77A70"/>
    <w:rsid w:val="00E80AFF"/>
    <w:rsid w:val="00E80FF7"/>
    <w:rsid w:val="00E8125D"/>
    <w:rsid w:val="00E81520"/>
    <w:rsid w:val="00E8178C"/>
    <w:rsid w:val="00E825B3"/>
    <w:rsid w:val="00E82FAE"/>
    <w:rsid w:val="00E84F32"/>
    <w:rsid w:val="00E85890"/>
    <w:rsid w:val="00E874C1"/>
    <w:rsid w:val="00E87EBB"/>
    <w:rsid w:val="00E9006F"/>
    <w:rsid w:val="00E90183"/>
    <w:rsid w:val="00E90732"/>
    <w:rsid w:val="00E91DB9"/>
    <w:rsid w:val="00E92116"/>
    <w:rsid w:val="00E9283E"/>
    <w:rsid w:val="00E928C9"/>
    <w:rsid w:val="00E92A09"/>
    <w:rsid w:val="00E92B62"/>
    <w:rsid w:val="00E92B72"/>
    <w:rsid w:val="00E92E41"/>
    <w:rsid w:val="00E943EE"/>
    <w:rsid w:val="00E94D76"/>
    <w:rsid w:val="00E95447"/>
    <w:rsid w:val="00E966B2"/>
    <w:rsid w:val="00E96B50"/>
    <w:rsid w:val="00E974DC"/>
    <w:rsid w:val="00E97BEC"/>
    <w:rsid w:val="00EA0DFF"/>
    <w:rsid w:val="00EA12BA"/>
    <w:rsid w:val="00EA1513"/>
    <w:rsid w:val="00EA15D0"/>
    <w:rsid w:val="00EA1CC1"/>
    <w:rsid w:val="00EA2730"/>
    <w:rsid w:val="00EA3D33"/>
    <w:rsid w:val="00EA40CD"/>
    <w:rsid w:val="00EA4FF5"/>
    <w:rsid w:val="00EA572A"/>
    <w:rsid w:val="00EA5D4F"/>
    <w:rsid w:val="00EA71B9"/>
    <w:rsid w:val="00EA742F"/>
    <w:rsid w:val="00EA7644"/>
    <w:rsid w:val="00EA7937"/>
    <w:rsid w:val="00EB0376"/>
    <w:rsid w:val="00EB03B1"/>
    <w:rsid w:val="00EB187A"/>
    <w:rsid w:val="00EB19E9"/>
    <w:rsid w:val="00EB1CC9"/>
    <w:rsid w:val="00EB3191"/>
    <w:rsid w:val="00EB4127"/>
    <w:rsid w:val="00EB5238"/>
    <w:rsid w:val="00EB5A5B"/>
    <w:rsid w:val="00EB5E57"/>
    <w:rsid w:val="00EB5F53"/>
    <w:rsid w:val="00EB66B5"/>
    <w:rsid w:val="00EB7562"/>
    <w:rsid w:val="00EC0687"/>
    <w:rsid w:val="00EC12CA"/>
    <w:rsid w:val="00EC1451"/>
    <w:rsid w:val="00EC1575"/>
    <w:rsid w:val="00EC19DE"/>
    <w:rsid w:val="00EC23A8"/>
    <w:rsid w:val="00EC24E2"/>
    <w:rsid w:val="00EC2D27"/>
    <w:rsid w:val="00EC3C69"/>
    <w:rsid w:val="00EC4C12"/>
    <w:rsid w:val="00EC570E"/>
    <w:rsid w:val="00EC5FAE"/>
    <w:rsid w:val="00EC622C"/>
    <w:rsid w:val="00EC6425"/>
    <w:rsid w:val="00EC6626"/>
    <w:rsid w:val="00EC7374"/>
    <w:rsid w:val="00EC73BE"/>
    <w:rsid w:val="00EC747A"/>
    <w:rsid w:val="00ED0AED"/>
    <w:rsid w:val="00ED0CB8"/>
    <w:rsid w:val="00ED0E8C"/>
    <w:rsid w:val="00ED10C0"/>
    <w:rsid w:val="00ED1A42"/>
    <w:rsid w:val="00ED2021"/>
    <w:rsid w:val="00ED235B"/>
    <w:rsid w:val="00ED3E3D"/>
    <w:rsid w:val="00ED4339"/>
    <w:rsid w:val="00ED4534"/>
    <w:rsid w:val="00ED4BF7"/>
    <w:rsid w:val="00ED51ED"/>
    <w:rsid w:val="00ED6224"/>
    <w:rsid w:val="00ED6649"/>
    <w:rsid w:val="00ED6EEF"/>
    <w:rsid w:val="00ED7150"/>
    <w:rsid w:val="00ED79DA"/>
    <w:rsid w:val="00EE00D8"/>
    <w:rsid w:val="00EE038F"/>
    <w:rsid w:val="00EE145B"/>
    <w:rsid w:val="00EE1840"/>
    <w:rsid w:val="00EE20BB"/>
    <w:rsid w:val="00EE29A6"/>
    <w:rsid w:val="00EE5B09"/>
    <w:rsid w:val="00EE646E"/>
    <w:rsid w:val="00EE6E48"/>
    <w:rsid w:val="00EE74F1"/>
    <w:rsid w:val="00EF0173"/>
    <w:rsid w:val="00EF02E3"/>
    <w:rsid w:val="00EF0732"/>
    <w:rsid w:val="00EF1351"/>
    <w:rsid w:val="00EF15EB"/>
    <w:rsid w:val="00EF1A6C"/>
    <w:rsid w:val="00EF1B16"/>
    <w:rsid w:val="00EF1EF8"/>
    <w:rsid w:val="00EF2589"/>
    <w:rsid w:val="00EF51AF"/>
    <w:rsid w:val="00EF67EB"/>
    <w:rsid w:val="00EF6938"/>
    <w:rsid w:val="00EF70DF"/>
    <w:rsid w:val="00F00415"/>
    <w:rsid w:val="00F00AAD"/>
    <w:rsid w:val="00F00CF8"/>
    <w:rsid w:val="00F00EE4"/>
    <w:rsid w:val="00F016C1"/>
    <w:rsid w:val="00F0176E"/>
    <w:rsid w:val="00F01A5A"/>
    <w:rsid w:val="00F01D2D"/>
    <w:rsid w:val="00F01DD0"/>
    <w:rsid w:val="00F026A6"/>
    <w:rsid w:val="00F02C3C"/>
    <w:rsid w:val="00F02F04"/>
    <w:rsid w:val="00F04155"/>
    <w:rsid w:val="00F04416"/>
    <w:rsid w:val="00F0478A"/>
    <w:rsid w:val="00F05106"/>
    <w:rsid w:val="00F05D80"/>
    <w:rsid w:val="00F07EA1"/>
    <w:rsid w:val="00F111F9"/>
    <w:rsid w:val="00F11684"/>
    <w:rsid w:val="00F1172D"/>
    <w:rsid w:val="00F11B0D"/>
    <w:rsid w:val="00F1233A"/>
    <w:rsid w:val="00F127A8"/>
    <w:rsid w:val="00F12FF5"/>
    <w:rsid w:val="00F1375E"/>
    <w:rsid w:val="00F14684"/>
    <w:rsid w:val="00F15326"/>
    <w:rsid w:val="00F161B3"/>
    <w:rsid w:val="00F17034"/>
    <w:rsid w:val="00F171E4"/>
    <w:rsid w:val="00F20065"/>
    <w:rsid w:val="00F20C5C"/>
    <w:rsid w:val="00F21200"/>
    <w:rsid w:val="00F221AB"/>
    <w:rsid w:val="00F225E3"/>
    <w:rsid w:val="00F22D90"/>
    <w:rsid w:val="00F233C7"/>
    <w:rsid w:val="00F238C5"/>
    <w:rsid w:val="00F2399C"/>
    <w:rsid w:val="00F243B9"/>
    <w:rsid w:val="00F2489D"/>
    <w:rsid w:val="00F24E15"/>
    <w:rsid w:val="00F251D4"/>
    <w:rsid w:val="00F253C4"/>
    <w:rsid w:val="00F25536"/>
    <w:rsid w:val="00F25F6A"/>
    <w:rsid w:val="00F27B5C"/>
    <w:rsid w:val="00F27CC9"/>
    <w:rsid w:val="00F3052C"/>
    <w:rsid w:val="00F30835"/>
    <w:rsid w:val="00F31E84"/>
    <w:rsid w:val="00F31F19"/>
    <w:rsid w:val="00F32523"/>
    <w:rsid w:val="00F32CA6"/>
    <w:rsid w:val="00F338DB"/>
    <w:rsid w:val="00F34545"/>
    <w:rsid w:val="00F36F88"/>
    <w:rsid w:val="00F41193"/>
    <w:rsid w:val="00F417C5"/>
    <w:rsid w:val="00F41E67"/>
    <w:rsid w:val="00F429F7"/>
    <w:rsid w:val="00F42F0A"/>
    <w:rsid w:val="00F4420D"/>
    <w:rsid w:val="00F448F2"/>
    <w:rsid w:val="00F44E8B"/>
    <w:rsid w:val="00F45C6C"/>
    <w:rsid w:val="00F50622"/>
    <w:rsid w:val="00F50645"/>
    <w:rsid w:val="00F507DE"/>
    <w:rsid w:val="00F5142B"/>
    <w:rsid w:val="00F52DC8"/>
    <w:rsid w:val="00F53ED8"/>
    <w:rsid w:val="00F54110"/>
    <w:rsid w:val="00F54E64"/>
    <w:rsid w:val="00F54E7E"/>
    <w:rsid w:val="00F551BE"/>
    <w:rsid w:val="00F5520F"/>
    <w:rsid w:val="00F556FB"/>
    <w:rsid w:val="00F567C5"/>
    <w:rsid w:val="00F5773B"/>
    <w:rsid w:val="00F57991"/>
    <w:rsid w:val="00F57EF0"/>
    <w:rsid w:val="00F600CF"/>
    <w:rsid w:val="00F60505"/>
    <w:rsid w:val="00F60B08"/>
    <w:rsid w:val="00F60EA6"/>
    <w:rsid w:val="00F619FB"/>
    <w:rsid w:val="00F61B8D"/>
    <w:rsid w:val="00F61D82"/>
    <w:rsid w:val="00F62441"/>
    <w:rsid w:val="00F629F3"/>
    <w:rsid w:val="00F632FB"/>
    <w:rsid w:val="00F636FC"/>
    <w:rsid w:val="00F63BF4"/>
    <w:rsid w:val="00F63DF7"/>
    <w:rsid w:val="00F642AF"/>
    <w:rsid w:val="00F65944"/>
    <w:rsid w:val="00F67ED7"/>
    <w:rsid w:val="00F71715"/>
    <w:rsid w:val="00F71A73"/>
    <w:rsid w:val="00F7453D"/>
    <w:rsid w:val="00F74599"/>
    <w:rsid w:val="00F746EF"/>
    <w:rsid w:val="00F74CDA"/>
    <w:rsid w:val="00F74D38"/>
    <w:rsid w:val="00F75262"/>
    <w:rsid w:val="00F7547E"/>
    <w:rsid w:val="00F77AF0"/>
    <w:rsid w:val="00F77C2F"/>
    <w:rsid w:val="00F77FB3"/>
    <w:rsid w:val="00F805D3"/>
    <w:rsid w:val="00F8083B"/>
    <w:rsid w:val="00F80B2B"/>
    <w:rsid w:val="00F815D5"/>
    <w:rsid w:val="00F817C2"/>
    <w:rsid w:val="00F81D46"/>
    <w:rsid w:val="00F82ACE"/>
    <w:rsid w:val="00F830B1"/>
    <w:rsid w:val="00F83A14"/>
    <w:rsid w:val="00F83E8B"/>
    <w:rsid w:val="00F83F10"/>
    <w:rsid w:val="00F85A7E"/>
    <w:rsid w:val="00F85D8A"/>
    <w:rsid w:val="00F866E8"/>
    <w:rsid w:val="00F90379"/>
    <w:rsid w:val="00F90DFA"/>
    <w:rsid w:val="00F91A02"/>
    <w:rsid w:val="00F91B10"/>
    <w:rsid w:val="00F92D26"/>
    <w:rsid w:val="00F932B9"/>
    <w:rsid w:val="00F93E6E"/>
    <w:rsid w:val="00F947B0"/>
    <w:rsid w:val="00F94FB3"/>
    <w:rsid w:val="00F95123"/>
    <w:rsid w:val="00F955A7"/>
    <w:rsid w:val="00F9632C"/>
    <w:rsid w:val="00F967A8"/>
    <w:rsid w:val="00F96F7F"/>
    <w:rsid w:val="00FA01CF"/>
    <w:rsid w:val="00FA0E33"/>
    <w:rsid w:val="00FA12DB"/>
    <w:rsid w:val="00FA145D"/>
    <w:rsid w:val="00FA19A8"/>
    <w:rsid w:val="00FA25EB"/>
    <w:rsid w:val="00FA26E0"/>
    <w:rsid w:val="00FA35AC"/>
    <w:rsid w:val="00FA4335"/>
    <w:rsid w:val="00FA5ADF"/>
    <w:rsid w:val="00FA5CBA"/>
    <w:rsid w:val="00FA611A"/>
    <w:rsid w:val="00FA651B"/>
    <w:rsid w:val="00FB00B3"/>
    <w:rsid w:val="00FB014F"/>
    <w:rsid w:val="00FB13C1"/>
    <w:rsid w:val="00FB19C8"/>
    <w:rsid w:val="00FB2556"/>
    <w:rsid w:val="00FB25BA"/>
    <w:rsid w:val="00FB314A"/>
    <w:rsid w:val="00FB35FD"/>
    <w:rsid w:val="00FB3B5C"/>
    <w:rsid w:val="00FB4A2E"/>
    <w:rsid w:val="00FB5074"/>
    <w:rsid w:val="00FB50CD"/>
    <w:rsid w:val="00FB5EFA"/>
    <w:rsid w:val="00FB63FC"/>
    <w:rsid w:val="00FB77EC"/>
    <w:rsid w:val="00FB7D1B"/>
    <w:rsid w:val="00FC02B4"/>
    <w:rsid w:val="00FC17CF"/>
    <w:rsid w:val="00FC1862"/>
    <w:rsid w:val="00FC1A87"/>
    <w:rsid w:val="00FC2036"/>
    <w:rsid w:val="00FC2226"/>
    <w:rsid w:val="00FC258A"/>
    <w:rsid w:val="00FC311D"/>
    <w:rsid w:val="00FC35E6"/>
    <w:rsid w:val="00FC372D"/>
    <w:rsid w:val="00FC3867"/>
    <w:rsid w:val="00FC4000"/>
    <w:rsid w:val="00FC4030"/>
    <w:rsid w:val="00FC43DC"/>
    <w:rsid w:val="00FC4ACE"/>
    <w:rsid w:val="00FC53B3"/>
    <w:rsid w:val="00FC5954"/>
    <w:rsid w:val="00FC5FED"/>
    <w:rsid w:val="00FC6716"/>
    <w:rsid w:val="00FC693B"/>
    <w:rsid w:val="00FC73F4"/>
    <w:rsid w:val="00FC7461"/>
    <w:rsid w:val="00FC7533"/>
    <w:rsid w:val="00FC7AD2"/>
    <w:rsid w:val="00FD092E"/>
    <w:rsid w:val="00FD12B1"/>
    <w:rsid w:val="00FD17B7"/>
    <w:rsid w:val="00FD2365"/>
    <w:rsid w:val="00FD2989"/>
    <w:rsid w:val="00FD3437"/>
    <w:rsid w:val="00FD3836"/>
    <w:rsid w:val="00FD3906"/>
    <w:rsid w:val="00FD3B03"/>
    <w:rsid w:val="00FD3D25"/>
    <w:rsid w:val="00FD3D6E"/>
    <w:rsid w:val="00FD40BE"/>
    <w:rsid w:val="00FD4363"/>
    <w:rsid w:val="00FD46FB"/>
    <w:rsid w:val="00FD496B"/>
    <w:rsid w:val="00FD5989"/>
    <w:rsid w:val="00FD60F6"/>
    <w:rsid w:val="00FD7FEB"/>
    <w:rsid w:val="00FE08DE"/>
    <w:rsid w:val="00FE0AC9"/>
    <w:rsid w:val="00FE114A"/>
    <w:rsid w:val="00FE1A66"/>
    <w:rsid w:val="00FE24C6"/>
    <w:rsid w:val="00FE2738"/>
    <w:rsid w:val="00FE2A17"/>
    <w:rsid w:val="00FE2FE6"/>
    <w:rsid w:val="00FE53F8"/>
    <w:rsid w:val="00FE5E46"/>
    <w:rsid w:val="00FE5F49"/>
    <w:rsid w:val="00FF0476"/>
    <w:rsid w:val="00FF0899"/>
    <w:rsid w:val="00FF09A9"/>
    <w:rsid w:val="00FF153E"/>
    <w:rsid w:val="00FF1765"/>
    <w:rsid w:val="00FF2315"/>
    <w:rsid w:val="00FF2A94"/>
    <w:rsid w:val="00FF30EC"/>
    <w:rsid w:val="00FF3360"/>
    <w:rsid w:val="00FF35A1"/>
    <w:rsid w:val="00FF37B5"/>
    <w:rsid w:val="00FF5FA4"/>
    <w:rsid w:val="00FF6141"/>
    <w:rsid w:val="00FF6184"/>
    <w:rsid w:val="00FF6B58"/>
    <w:rsid w:val="00FF745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94185"/>
  <w15:docId w15:val="{2EA78DDE-E43A-4FAA-AE20-623BA4F9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MS Mincho" w:cs="Times New Roman"/>
        <w:sz w:val="22"/>
        <w:szCs w:val="22"/>
        <w:lang w:val="en-GB" w:eastAsia="en-GB" w:bidi="ar-SA"/>
      </w:rPr>
    </w:rPrDefault>
    <w:pPrDefault/>
  </w:docDefaults>
  <w:latentStyles w:defLockedState="0" w:defUIPriority="99" w:defSemiHidden="0" w:defUnhideWhenUsed="0" w:defQFormat="0" w:count="376">
    <w:lsdException w:name="Normal" w:uiPriority="0"/>
    <w:lsdException w:name="heading 1" w:uiPriority="19" w:qFormat="1"/>
    <w:lsdException w:name="heading 2" w:uiPriority="19" w:semiHidden="1" w:qFormat="1"/>
    <w:lsdException w:name="heading 3" w:uiPriority="19" w:semiHidden="1" w:qFormat="1"/>
    <w:lsdException w:name="heading 4" w:uiPriority="19" w:semiHidden="1" w:qFormat="1"/>
    <w:lsdException w:name="heading 5" w:uiPriority="19" w:semiHidden="1" w:qFormat="1"/>
    <w:lsdException w:name="heading 6" w:uiPriority="1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lsdException w:name="footer" w:semiHidden="1"/>
    <w:lsdException w:name="index heading" w:uiPriority="49"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59"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59"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59"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59" w:semiHidden="1" w:qFormat="1"/>
    <w:lsdException w:name="Emphasis" w:uiPriority="59"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5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59" w:semiHidden="1" w:qFormat="1"/>
    <w:lsdException w:name="Intense Quote" w:uiPriority="5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semiHidden="1" w:qFormat="1"/>
    <w:lsdException w:name="Intense Emphasis" w:uiPriority="59" w:semiHidden="1" w:qFormat="1"/>
    <w:lsdException w:name="Subtle Reference" w:uiPriority="59" w:semiHidden="1" w:qFormat="1"/>
    <w:lsdException w:name="Intense Reference" w:uiPriority="59" w:semiHidden="1" w:qFormat="1"/>
    <w:lsdException w:name="Book Title" w:uiPriority="59" w:semiHidden="1" w:qFormat="1"/>
    <w:lsdException w:name="Bibliography" w:uiPriority="59" w:semiHidden="1"/>
    <w:lsdException w:name="TOC Heading" w:uiPriority="5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rsid w:val="00636EB7"/>
    <w:pPr>
      <w:jc w:val="both"/>
    </w:pPr>
    <w:rPr>
      <w:rFonts w:eastAsiaTheme="minorHAnsi" w:cstheme="minorBidi"/>
      <w:lang w:eastAsia="en-US"/>
    </w:rPr>
  </w:style>
  <w:style w:type="paragraph" w:styleId="Heading1">
    <w:name w:val="heading 1"/>
    <w:aliases w:val="(Alt+1),1,1.,Attribute Heading 1,Attribute Heading 11,H1,Header1,Heading,Heading 1 (1),Heading 1 (NN),Heading 1 A,Heading A,Heading One,I,Lev 1,Outline1,PIP Head 1,Part,Prophead 1,Prophead level 1,Section,h1,h11,l1,lev1,level 1,main,o,section"/>
    <w:basedOn w:val="Normal"/>
    <w:next w:val="ssPara1"/>
    <w:link w:val="Heading1Char"/>
    <w:uiPriority w:val="19"/>
    <w:qFormat/>
    <w:rsid w:val="00DB001A"/>
    <w:pPr>
      <w:keepNext/>
      <w:keepLines/>
      <w:numPr>
        <w:ilvl w:val="1"/>
        <w:numId w:val="46"/>
      </w:numPr>
      <w:spacing w:after="260"/>
      <w:outlineLvl w:val="0"/>
    </w:pPr>
    <w:rPr>
      <w:rFonts w:eastAsia="MingLiU" w:cs="Times New Roman"/>
      <w:b/>
      <w:bCs/>
      <w:kern w:val="32"/>
      <w:szCs w:val="28"/>
      <w:u w:val="single"/>
      <w:lang w:eastAsia="en-GB"/>
    </w:rPr>
  </w:style>
  <w:style w:type="paragraph" w:styleId="Heading2">
    <w:name w:val="heading 2"/>
    <w:aliases w:val="HR2,(1.1,1.1 Heading 2,1.2,1.3 etc),2,21,22,23,24,25,H2,Heading Two,KJL:1st Level,Major,Prophead 2,RR level 2,Sub Headings,h2,h21,h211,h22,h23,headi,heading2,no section,section header,sub,sub-sect,sub-sect1,sub-sect2,sub-sect3,sub-sect4"/>
    <w:basedOn w:val="Normal"/>
    <w:next w:val="ssPara2"/>
    <w:link w:val="Heading2Char"/>
    <w:uiPriority w:val="19"/>
    <w:qFormat/>
    <w:rsid w:val="00DB001A"/>
    <w:pPr>
      <w:keepNext/>
      <w:keepLines/>
      <w:numPr>
        <w:ilvl w:val="2"/>
        <w:numId w:val="46"/>
      </w:numPr>
      <w:spacing w:after="260"/>
      <w:outlineLvl w:val="1"/>
    </w:pPr>
    <w:rPr>
      <w:rFonts w:eastAsia="MingLiU" w:cs="Times New Roman"/>
      <w:b/>
      <w:bCs/>
      <w:szCs w:val="26"/>
      <w:lang w:eastAsia="en-GB"/>
    </w:rPr>
  </w:style>
  <w:style w:type="paragraph" w:styleId="Heading3">
    <w:name w:val="heading 3"/>
    <w:aliases w:val="3,31,311,32,33,34,35,KJL:2nd Level,Mi,Minor,PARA3,PARA31,PARA311,PARA312,PARA313,PARA32,PARA321,PARA322,PARA33,PARA34,PARA35,h3,h31,h32,h33,h34,h35,sub section header,sub-sub,sub-sub1,sub-sub11,sub-sub2,sub-sub3,sub-sub4,subsect,Überschrift 3"/>
    <w:basedOn w:val="Normal"/>
    <w:next w:val="ssPara3"/>
    <w:link w:val="Heading3Char"/>
    <w:uiPriority w:val="19"/>
    <w:qFormat/>
    <w:rsid w:val="00DB001A"/>
    <w:pPr>
      <w:keepNext/>
      <w:keepLines/>
      <w:numPr>
        <w:ilvl w:val="3"/>
        <w:numId w:val="46"/>
      </w:numPr>
      <w:spacing w:after="260"/>
      <w:outlineLvl w:val="2"/>
    </w:pPr>
    <w:rPr>
      <w:rFonts w:eastAsia="MingLiU" w:cs="Times New Roman"/>
      <w:b/>
      <w:bCs/>
      <w:lang w:eastAsia="en-GB"/>
    </w:rPr>
  </w:style>
  <w:style w:type="paragraph" w:styleId="Heading4">
    <w:name w:val="heading 4"/>
    <w:aliases w:val="4,H4,H41,H410,H4101,H4102,H411,H4110,H4111,H412,H4121,H413,H4131,H414,H4141,H415,H4151,H416,H417,H418,H419,H42,H420,H421,H422,H423,H43,H431,H432,H44,H441,H442,H45,H451,H452,H46,H461,H462,H47,H471,H472,H48,H481,H482,H49,H491,H492,Schedules,d,h4"/>
    <w:basedOn w:val="Normal"/>
    <w:next w:val="ssPara4"/>
    <w:link w:val="Heading4Char"/>
    <w:uiPriority w:val="19"/>
    <w:qFormat/>
    <w:rsid w:val="00DB001A"/>
    <w:pPr>
      <w:keepNext/>
      <w:keepLines/>
      <w:numPr>
        <w:ilvl w:val="4"/>
        <w:numId w:val="46"/>
      </w:numPr>
      <w:spacing w:after="260"/>
      <w:outlineLvl w:val="3"/>
    </w:pPr>
    <w:rPr>
      <w:rFonts w:eastAsia="MingLiU" w:cs="Times New Roman"/>
      <w:b/>
      <w:bCs/>
      <w:iCs/>
      <w:lang w:eastAsia="en-GB"/>
    </w:rPr>
  </w:style>
  <w:style w:type="paragraph" w:styleId="Heading5">
    <w:name w:val="heading 5"/>
    <w:aliases w:val="5,Appendix A to X,H5,H51,Heading 5   Appendix A to X,Lev 5,PR13,Response Type,Response Type1,Response Type2,Response Type3,Response Type4,Response Type5,Response Type6,Response Type7,Roman list,Second Subheading,h5,i) ii) iii),l5,sb,titlehead"/>
    <w:basedOn w:val="Normal"/>
    <w:next w:val="ssPara5"/>
    <w:link w:val="Heading5Char"/>
    <w:uiPriority w:val="19"/>
    <w:qFormat/>
    <w:rsid w:val="00DB001A"/>
    <w:pPr>
      <w:keepNext/>
      <w:keepLines/>
      <w:numPr>
        <w:ilvl w:val="5"/>
        <w:numId w:val="46"/>
      </w:numPr>
      <w:spacing w:after="260"/>
      <w:outlineLvl w:val="4"/>
    </w:pPr>
    <w:rPr>
      <w:rFonts w:eastAsia="MingLiU" w:cs="Times New Roman"/>
      <w:b/>
      <w:lang w:eastAsia="en-GB"/>
    </w:rPr>
  </w:style>
  <w:style w:type="paragraph" w:styleId="Heading6">
    <w:name w:val="heading 6"/>
    <w:aliases w:val="6,H6,H61,H610,H6101,H611,H6111,H612,H6121,H613,H6131,H614,H6141,H615,H6151,H616,H6161,H617,H6171,H618,H6181,H619,H62,H620,H621,H622,H623,H624,H625,H626,H63,H631,H64,H641,H65,H651,H66,H661,H67,H671,H68,H681,H69,H691,Heading 6  Appendix Y &amp; Z,h6"/>
    <w:basedOn w:val="Normal"/>
    <w:next w:val="ssPara6"/>
    <w:link w:val="Heading6Char"/>
    <w:uiPriority w:val="19"/>
    <w:qFormat/>
    <w:rsid w:val="00DB001A"/>
    <w:pPr>
      <w:keepNext/>
      <w:keepLines/>
      <w:numPr>
        <w:ilvl w:val="6"/>
        <w:numId w:val="46"/>
      </w:numPr>
      <w:spacing w:after="260"/>
      <w:outlineLvl w:val="5"/>
    </w:pPr>
    <w:rPr>
      <w:rFonts w:eastAsia="MingLiU" w:cs="Times New Roman"/>
      <w:b/>
      <w:iCs/>
      <w:lang w:eastAsia="en-GB"/>
    </w:rPr>
  </w:style>
  <w:style w:type="paragraph" w:styleId="Heading7">
    <w:name w:val="heading 7"/>
    <w:basedOn w:val="Normal"/>
    <w:next w:val="Normal"/>
    <w:link w:val="Heading7Char"/>
    <w:uiPriority w:val="9"/>
    <w:semiHidden/>
    <w:qFormat/>
    <w:rsid w:val="00DB001A"/>
    <w:pPr>
      <w:numPr>
        <w:ilvl w:val="7"/>
        <w:numId w:val="47"/>
      </w:numPr>
      <w:outlineLvl w:val="6"/>
    </w:pPr>
    <w:rPr>
      <w:rFonts w:eastAsia="MingLiU" w:cs="Times New Roman" w:asciiTheme="minorHAnsi" w:hAnsiTheme="minorHAnsi"/>
      <w:szCs w:val="24"/>
      <w:lang w:eastAsia="en-GB"/>
    </w:rPr>
  </w:style>
  <w:style w:type="paragraph" w:styleId="Heading8">
    <w:name w:val="heading 8"/>
    <w:basedOn w:val="Normal"/>
    <w:next w:val="Normal"/>
    <w:link w:val="Heading8Char"/>
    <w:uiPriority w:val="9"/>
    <w:semiHidden/>
    <w:qFormat/>
    <w:rsid w:val="00DB001A"/>
    <w:pPr>
      <w:numPr>
        <w:ilvl w:val="8"/>
        <w:numId w:val="47"/>
      </w:numPr>
      <w:outlineLvl w:val="7"/>
    </w:pPr>
    <w:rPr>
      <w:rFonts w:eastAsia="MingLiU" w:cs="Times New Roman" w:asciiTheme="minorHAnsi" w:hAnsiTheme="minorHAnsi"/>
      <w:iCs/>
      <w:szCs w:val="24"/>
      <w:lang w:eastAsia="en-GB"/>
    </w:rPr>
  </w:style>
  <w:style w:type="paragraph" w:styleId="Heading9">
    <w:name w:val="heading 9"/>
    <w:basedOn w:val="Normal"/>
    <w:next w:val="Normal"/>
    <w:link w:val="Heading9Char"/>
    <w:uiPriority w:val="9"/>
    <w:semiHidden/>
    <w:qFormat/>
    <w:rsid w:val="00DB001A"/>
    <w:pPr>
      <w:outlineLvl w:val="8"/>
    </w:pPr>
    <w:rPr>
      <w:rFonts w:eastAsia="MingLiU" w:cs="Arial" w:asciiTheme="minorHAnsi" w:hAnsiTheme="minorHAnsi"/>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Alt+1) Char,1 Char,1. Char,Attribute Heading 1 Char,Attribute Heading 11 Char,H1 Char,Header1 Char,Heading Char,Heading 1 (1) Char,Heading 1 (NN) Char,Heading 1 A Char,Heading A Char,Heading One Char,I Char,Lev 1 Char,Outline1 Char"/>
    <w:link w:val="Heading1"/>
    <w:uiPriority w:val="9"/>
    <w:rsid w:val="00DB001A"/>
    <w:rPr>
      <w:rFonts w:eastAsia="MingLiU"/>
      <w:b/>
      <w:bCs/>
      <w:kern w:val="32"/>
      <w:szCs w:val="28"/>
      <w:u w:val="single"/>
    </w:rPr>
  </w:style>
  <w:style w:type="character" w:styleId="Heading2Char" w:customStyle="1">
    <w:name w:val="Heading 2 Char"/>
    <w:aliases w:val="HR2 Char,(1.1 Char,1.1 Heading 2 Char,1.2 Char,1.3 etc) Char,2 Char,21 Char,22 Char,23 Char,24 Char,25 Char,H2 Char,Heading Two Char,KJL:1st Level Char,Major Char,Prophead 2 Char,RR level 2 Char,Sub Headings Char,h2 Char,h21 Char,h22 Char"/>
    <w:link w:val="Heading2"/>
    <w:uiPriority w:val="19"/>
    <w:rsid w:val="00DB001A"/>
    <w:rPr>
      <w:rFonts w:eastAsia="MingLiU"/>
      <w:b/>
      <w:bCs/>
      <w:szCs w:val="26"/>
    </w:rPr>
  </w:style>
  <w:style w:type="character" w:styleId="Heading3Char" w:customStyle="1">
    <w:name w:val="Heading 3 Char"/>
    <w:aliases w:val="3 Char,31 Char,311 Char,32 Char,33 Char,34 Char,35 Char,KJL:2nd Level Char,Mi Char,Minor Char,PARA3 Char,PARA31 Char,PARA311 Char,PARA312 Char,PARA313 Char,PARA32 Char,PARA321 Char,PARA322 Char,PARA33 Char,PARA34 Char,PARA35 Char,h3 Char"/>
    <w:link w:val="Heading3"/>
    <w:uiPriority w:val="9"/>
    <w:rsid w:val="00DB001A"/>
    <w:rPr>
      <w:rFonts w:eastAsia="MingLiU"/>
      <w:b/>
      <w:bCs/>
    </w:rPr>
  </w:style>
  <w:style w:type="paragraph" w:styleId="ssqAppendix" w:customStyle="1">
    <w:name w:val="ssqAppendix"/>
    <w:basedOn w:val="ssPara1"/>
    <w:next w:val="ssPara"/>
    <w:uiPriority w:val="6"/>
    <w:qFormat/>
    <w:rsid w:val="00581B3E"/>
    <w:pPr>
      <w:pageBreakBefore/>
      <w:numPr>
        <w:numId w:val="57"/>
      </w:numPr>
      <w:jc w:val="center"/>
    </w:pPr>
    <w:rPr>
      <w:rFonts w:eastAsia="MingLiU"/>
      <w:b/>
      <w:caps/>
    </w:rPr>
  </w:style>
  <w:style w:type="paragraph" w:styleId="Definitions" w:customStyle="1">
    <w:name w:val="Definitions"/>
    <w:basedOn w:val="Normal"/>
    <w:rsid w:val="00A57B65"/>
    <w:pPr>
      <w:numPr>
        <w:numId w:val="55"/>
      </w:numPr>
      <w:spacing w:after="260"/>
    </w:pPr>
  </w:style>
  <w:style w:type="paragraph" w:styleId="Definitions1" w:customStyle="1">
    <w:name w:val="Definitions 1"/>
    <w:basedOn w:val="Normal"/>
    <w:rsid w:val="00A57B65"/>
    <w:pPr>
      <w:numPr>
        <w:ilvl w:val="1"/>
        <w:numId w:val="55"/>
      </w:numPr>
      <w:spacing w:after="260"/>
      <w:outlineLvl w:val="1"/>
    </w:pPr>
  </w:style>
  <w:style w:type="paragraph" w:styleId="Definitions2" w:customStyle="1">
    <w:name w:val="Definitions 2"/>
    <w:basedOn w:val="Normal"/>
    <w:rsid w:val="00A57B65"/>
    <w:pPr>
      <w:numPr>
        <w:ilvl w:val="2"/>
        <w:numId w:val="55"/>
      </w:numPr>
      <w:spacing w:after="260"/>
      <w:outlineLvl w:val="2"/>
    </w:pPr>
  </w:style>
  <w:style w:type="paragraph" w:styleId="ssqExhibit" w:customStyle="1">
    <w:name w:val="ssqExhibit"/>
    <w:basedOn w:val="ssPara1"/>
    <w:next w:val="ssPara"/>
    <w:uiPriority w:val="7"/>
    <w:qFormat/>
    <w:rsid w:val="00581B3E"/>
    <w:pPr>
      <w:pageBreakBefore/>
      <w:numPr>
        <w:numId w:val="58"/>
      </w:numPr>
      <w:jc w:val="center"/>
    </w:pPr>
    <w:rPr>
      <w:rFonts w:eastAsia="MingLiU"/>
      <w:b/>
      <w:caps/>
    </w:rPr>
  </w:style>
  <w:style w:type="paragraph" w:styleId="Footer">
    <w:name w:val="footer"/>
    <w:basedOn w:val="Normal"/>
    <w:link w:val="FooterChar"/>
    <w:uiPriority w:val="99"/>
    <w:rsid w:val="00DB001A"/>
    <w:pPr>
      <w:tabs>
        <w:tab w:val="center" w:pos="4763"/>
        <w:tab w:val="right" w:pos="9497"/>
      </w:tabs>
      <w:spacing w:line="260" w:lineRule="atLeast"/>
    </w:pPr>
    <w:rPr>
      <w:rFonts w:eastAsia="SimSun"/>
      <w:sz w:val="12"/>
      <w:szCs w:val="20"/>
      <w:lang w:eastAsia="zh-CN"/>
    </w:rPr>
  </w:style>
  <w:style w:type="character" w:styleId="FooterChar" w:customStyle="1">
    <w:name w:val="Footer Char"/>
    <w:link w:val="Footer"/>
    <w:uiPriority w:val="99"/>
    <w:rsid w:val="00FC43DC"/>
    <w:rPr>
      <w:rFonts w:eastAsia="SimSun" w:cstheme="minorBidi"/>
      <w:sz w:val="12"/>
      <w:szCs w:val="20"/>
      <w:lang w:eastAsia="zh-CN"/>
    </w:rPr>
  </w:style>
  <w:style w:type="character" w:styleId="FootnoteReference">
    <w:name w:val="footnote reference"/>
    <w:basedOn w:val="DefaultParagraphFont"/>
    <w:uiPriority w:val="99"/>
    <w:rsid w:val="00DB001A"/>
    <w:rPr>
      <w:vertAlign w:val="superscript"/>
    </w:rPr>
  </w:style>
  <w:style w:type="paragraph" w:styleId="FootnoteText">
    <w:name w:val="footnote text"/>
    <w:basedOn w:val="Normal"/>
    <w:link w:val="FootnoteTextChar"/>
    <w:uiPriority w:val="99"/>
    <w:rsid w:val="00DB001A"/>
    <w:rPr>
      <w:sz w:val="20"/>
      <w:szCs w:val="20"/>
    </w:rPr>
  </w:style>
  <w:style w:type="character" w:styleId="FootnoteTextChar" w:customStyle="1">
    <w:name w:val="Footnote Text Char"/>
    <w:basedOn w:val="DefaultParagraphFont"/>
    <w:link w:val="FootnoteText"/>
    <w:uiPriority w:val="99"/>
    <w:rsid w:val="00DB001A"/>
    <w:rPr>
      <w:rFonts w:eastAsiaTheme="minorHAnsi" w:cstheme="minorBidi"/>
      <w:sz w:val="20"/>
      <w:szCs w:val="20"/>
      <w:lang w:eastAsia="en-US"/>
    </w:rPr>
  </w:style>
  <w:style w:type="paragraph" w:styleId="Header">
    <w:name w:val="header"/>
    <w:basedOn w:val="Normal"/>
    <w:link w:val="HeaderChar"/>
    <w:uiPriority w:val="99"/>
    <w:semiHidden/>
    <w:rsid w:val="00DB001A"/>
    <w:pPr>
      <w:tabs>
        <w:tab w:val="center" w:pos="4513"/>
        <w:tab w:val="right" w:pos="9026"/>
      </w:tabs>
    </w:pPr>
  </w:style>
  <w:style w:type="character" w:styleId="HeaderChar" w:customStyle="1">
    <w:name w:val="Header Char"/>
    <w:basedOn w:val="DefaultParagraphFont"/>
    <w:link w:val="Header"/>
    <w:uiPriority w:val="99"/>
    <w:rsid w:val="00FC43DC"/>
    <w:rPr>
      <w:rFonts w:eastAsiaTheme="minorHAnsi" w:cstheme="minorBidi"/>
      <w:lang w:eastAsia="en-US"/>
    </w:rPr>
  </w:style>
  <w:style w:type="paragraph" w:styleId="ssNoHeading1" w:customStyle="1">
    <w:name w:val="ssNoHeading1"/>
    <w:basedOn w:val="Heading1"/>
    <w:uiPriority w:val="2"/>
    <w:qFormat/>
    <w:rsid w:val="00DB001A"/>
    <w:pPr>
      <w:keepNext w:val="0"/>
      <w:keepLines w:val="0"/>
    </w:pPr>
    <w:rPr>
      <w:b w:val="0"/>
      <w:u w:val="none"/>
    </w:rPr>
  </w:style>
  <w:style w:type="character" w:styleId="Heading4Char" w:customStyle="1">
    <w:name w:val="Heading 4 Char"/>
    <w:aliases w:val="4 Char,H4 Char,H41 Char,H410 Char,H4101 Char,H4102 Char,H411 Char,H4110 Char,H4111 Char,H412 Char,H4121 Char,H413 Char,H4131 Char,H414 Char,H4141 Char,H415 Char,H4151 Char,H416 Char,H417 Char,H418 Char,H419 Char,H42 Char,H420 Char,d Char"/>
    <w:link w:val="Heading4"/>
    <w:uiPriority w:val="19"/>
    <w:rsid w:val="00DB001A"/>
    <w:rPr>
      <w:rFonts w:eastAsia="MingLiU"/>
      <w:b/>
      <w:bCs/>
      <w:iCs/>
    </w:rPr>
  </w:style>
  <w:style w:type="character" w:styleId="Heading5Char" w:customStyle="1">
    <w:name w:val="Heading 5 Char"/>
    <w:aliases w:val="5 Char,Appendix A to X Char,H5 Char,H51 Char,Heading 5   Appendix A to X Char,Lev 5 Char,PR13 Char,Response Type Char,Response Type1 Char,Response Type2 Char,Response Type3 Char,Response Type4 Char,Response Type5 Char,Response Type6 Char"/>
    <w:link w:val="Heading5"/>
    <w:uiPriority w:val="19"/>
    <w:rsid w:val="00DB001A"/>
    <w:rPr>
      <w:rFonts w:eastAsia="MingLiU"/>
      <w:b/>
    </w:rPr>
  </w:style>
  <w:style w:type="character" w:styleId="Heading6Char" w:customStyle="1">
    <w:name w:val="Heading 6 Char"/>
    <w:aliases w:val="6 Char,H6 Char,H61 Char,H610 Char,H6101 Char,H611 Char,H6111 Char,H612 Char,H6121 Char,H613 Char,H6131 Char,H614 Char,H6141 Char,H615 Char,H6151 Char,H616 Char,H6161 Char,H617 Char,H6171 Char,H618 Char,H6181 Char,H619 Char,H62 Char"/>
    <w:link w:val="Heading6"/>
    <w:uiPriority w:val="19"/>
    <w:rsid w:val="00DB001A"/>
    <w:rPr>
      <w:rFonts w:eastAsia="MingLiU"/>
      <w:b/>
      <w:iCs/>
    </w:rPr>
  </w:style>
  <w:style w:type="paragraph" w:styleId="ssNoHeading2" w:customStyle="1">
    <w:name w:val="ssNoHeading2"/>
    <w:basedOn w:val="Heading2"/>
    <w:uiPriority w:val="2"/>
    <w:qFormat/>
    <w:rsid w:val="00DB001A"/>
    <w:pPr>
      <w:keepNext w:val="0"/>
      <w:keepLines w:val="0"/>
    </w:pPr>
    <w:rPr>
      <w:b w:val="0"/>
    </w:rPr>
  </w:style>
  <w:style w:type="paragraph" w:styleId="ssNoHeading3" w:customStyle="1">
    <w:name w:val="ssNoHeading3"/>
    <w:basedOn w:val="Heading3"/>
    <w:uiPriority w:val="2"/>
    <w:qFormat/>
    <w:rsid w:val="00DB001A"/>
    <w:pPr>
      <w:keepNext w:val="0"/>
      <w:keepLines w:val="0"/>
    </w:pPr>
    <w:rPr>
      <w:b w:val="0"/>
    </w:rPr>
  </w:style>
  <w:style w:type="paragraph" w:styleId="ssNoHeading4" w:customStyle="1">
    <w:name w:val="ssNoHeading4"/>
    <w:basedOn w:val="Heading4"/>
    <w:uiPriority w:val="29"/>
    <w:qFormat/>
    <w:rsid w:val="00DB001A"/>
    <w:pPr>
      <w:keepNext w:val="0"/>
      <w:keepLines w:val="0"/>
    </w:pPr>
    <w:rPr>
      <w:b w:val="0"/>
    </w:rPr>
  </w:style>
  <w:style w:type="paragraph" w:styleId="ssNoHeading5" w:customStyle="1">
    <w:name w:val="ssNoHeading5"/>
    <w:basedOn w:val="Heading5"/>
    <w:uiPriority w:val="29"/>
    <w:qFormat/>
    <w:rsid w:val="00DB001A"/>
    <w:pPr>
      <w:keepNext w:val="0"/>
      <w:keepLines w:val="0"/>
    </w:pPr>
    <w:rPr>
      <w:b w:val="0"/>
    </w:rPr>
  </w:style>
  <w:style w:type="paragraph" w:styleId="ssNoHeading6" w:customStyle="1">
    <w:name w:val="ssNoHeading6"/>
    <w:basedOn w:val="Heading6"/>
    <w:uiPriority w:val="2"/>
    <w:qFormat/>
    <w:rsid w:val="00DB001A"/>
    <w:pPr>
      <w:keepNext w:val="0"/>
      <w:keepLines w:val="0"/>
    </w:pPr>
    <w:rPr>
      <w:b w:val="0"/>
    </w:rPr>
  </w:style>
  <w:style w:type="character" w:styleId="Hyperlink">
    <w:name w:val="Hyperlink"/>
    <w:basedOn w:val="DefaultParagraphFont"/>
    <w:uiPriority w:val="99"/>
    <w:rsid w:val="00DB001A"/>
    <w:rPr>
      <w:color w:val="0563C1" w:themeColor="hyperlink"/>
      <w:u w:val="single"/>
    </w:rPr>
  </w:style>
  <w:style w:type="paragraph" w:styleId="Index1">
    <w:name w:val="index 1"/>
    <w:basedOn w:val="Normal"/>
    <w:next w:val="Normal"/>
    <w:autoRedefine/>
    <w:uiPriority w:val="99"/>
    <w:semiHidden/>
    <w:rsid w:val="00DB001A"/>
    <w:pPr>
      <w:spacing w:after="120"/>
      <w:ind w:left="221" w:hanging="221"/>
    </w:pPr>
    <w:rPr>
      <w:rFonts w:eastAsia="Times New Roman"/>
    </w:rPr>
  </w:style>
  <w:style w:type="paragraph" w:styleId="Index2">
    <w:name w:val="index 2"/>
    <w:basedOn w:val="Normal"/>
    <w:next w:val="Normal"/>
    <w:autoRedefine/>
    <w:uiPriority w:val="99"/>
    <w:semiHidden/>
    <w:rsid w:val="00DB001A"/>
    <w:pPr>
      <w:spacing w:after="120"/>
      <w:ind w:left="442" w:hanging="221"/>
    </w:pPr>
    <w:rPr>
      <w:rFonts w:eastAsia="Times New Roman"/>
    </w:rPr>
  </w:style>
  <w:style w:type="paragraph" w:styleId="Index3">
    <w:name w:val="index 3"/>
    <w:basedOn w:val="Normal"/>
    <w:next w:val="Normal"/>
    <w:autoRedefine/>
    <w:uiPriority w:val="99"/>
    <w:semiHidden/>
    <w:rsid w:val="00DB001A"/>
    <w:pPr>
      <w:spacing w:after="120"/>
      <w:ind w:left="663" w:hanging="221"/>
    </w:pPr>
    <w:rPr>
      <w:rFonts w:eastAsia="Times New Roman"/>
    </w:rPr>
  </w:style>
  <w:style w:type="paragraph" w:styleId="Index4">
    <w:name w:val="index 4"/>
    <w:basedOn w:val="Normal"/>
    <w:next w:val="Normal"/>
    <w:autoRedefine/>
    <w:uiPriority w:val="99"/>
    <w:semiHidden/>
    <w:rsid w:val="00DB001A"/>
    <w:pPr>
      <w:spacing w:after="120"/>
      <w:ind w:left="879" w:hanging="221"/>
    </w:pPr>
    <w:rPr>
      <w:rFonts w:eastAsia="Times New Roman"/>
    </w:rPr>
  </w:style>
  <w:style w:type="paragraph" w:styleId="Index5">
    <w:name w:val="index 5"/>
    <w:basedOn w:val="Normal"/>
    <w:next w:val="Normal"/>
    <w:autoRedefine/>
    <w:uiPriority w:val="99"/>
    <w:semiHidden/>
    <w:rsid w:val="00DB001A"/>
    <w:pPr>
      <w:spacing w:after="120"/>
      <w:ind w:left="1100" w:hanging="221"/>
    </w:pPr>
    <w:rPr>
      <w:rFonts w:eastAsia="Times New Roman"/>
    </w:rPr>
  </w:style>
  <w:style w:type="paragraph" w:styleId="Index6">
    <w:name w:val="index 6"/>
    <w:basedOn w:val="Normal"/>
    <w:next w:val="Normal"/>
    <w:autoRedefine/>
    <w:uiPriority w:val="99"/>
    <w:semiHidden/>
    <w:rsid w:val="00DB001A"/>
    <w:pPr>
      <w:spacing w:after="120"/>
      <w:ind w:left="1321" w:hanging="221"/>
    </w:pPr>
    <w:rPr>
      <w:rFonts w:eastAsia="Times New Roman"/>
    </w:rPr>
  </w:style>
  <w:style w:type="paragraph" w:styleId="Index7">
    <w:name w:val="index 7"/>
    <w:basedOn w:val="Normal"/>
    <w:next w:val="Normal"/>
    <w:autoRedefine/>
    <w:uiPriority w:val="99"/>
    <w:semiHidden/>
    <w:rsid w:val="00DB001A"/>
    <w:pPr>
      <w:spacing w:after="120"/>
      <w:ind w:left="1542" w:hanging="221"/>
    </w:pPr>
    <w:rPr>
      <w:rFonts w:eastAsia="Times New Roman"/>
    </w:rPr>
  </w:style>
  <w:style w:type="paragraph" w:styleId="Index8">
    <w:name w:val="index 8"/>
    <w:basedOn w:val="Normal"/>
    <w:next w:val="Normal"/>
    <w:autoRedefine/>
    <w:uiPriority w:val="99"/>
    <w:semiHidden/>
    <w:rsid w:val="00DB001A"/>
    <w:pPr>
      <w:spacing w:after="120"/>
      <w:ind w:left="1763" w:hanging="221"/>
    </w:pPr>
    <w:rPr>
      <w:rFonts w:eastAsia="Times New Roman"/>
    </w:rPr>
  </w:style>
  <w:style w:type="paragraph" w:styleId="Index9">
    <w:name w:val="index 9"/>
    <w:basedOn w:val="Normal"/>
    <w:next w:val="Normal"/>
    <w:autoRedefine/>
    <w:uiPriority w:val="99"/>
    <w:semiHidden/>
    <w:rsid w:val="00DB001A"/>
    <w:pPr>
      <w:spacing w:after="120"/>
      <w:ind w:left="1979" w:hanging="221"/>
    </w:pPr>
    <w:rPr>
      <w:rFonts w:eastAsia="Times New Roman"/>
    </w:rPr>
  </w:style>
  <w:style w:type="paragraph" w:styleId="IndexHeading">
    <w:name w:val="index heading"/>
    <w:basedOn w:val="Normal"/>
    <w:next w:val="Index1"/>
    <w:uiPriority w:val="49"/>
    <w:semiHidden/>
    <w:rsid w:val="00DB001A"/>
    <w:rPr>
      <w:rFonts w:asciiTheme="majorHAnsi" w:hAnsiTheme="majorHAnsi" w:eastAsiaTheme="majorEastAsia" w:cstheme="majorBidi"/>
      <w:b/>
      <w:bCs/>
    </w:rPr>
  </w:style>
  <w:style w:type="paragraph" w:styleId="ssqPart" w:customStyle="1">
    <w:name w:val="ssqPart"/>
    <w:basedOn w:val="ssPara1"/>
    <w:next w:val="ssPara"/>
    <w:uiPriority w:val="9"/>
    <w:qFormat/>
    <w:rsid w:val="00581B3E"/>
    <w:pPr>
      <w:numPr>
        <w:numId w:val="60"/>
      </w:numPr>
      <w:jc w:val="center"/>
    </w:pPr>
    <w:rPr>
      <w:rFonts w:eastAsia="MingLiU"/>
      <w:b/>
      <w:caps/>
    </w:rPr>
  </w:style>
  <w:style w:type="paragraph" w:styleId="ListParagraph">
    <w:name w:val="List Paragraph"/>
    <w:basedOn w:val="Normal"/>
    <w:uiPriority w:val="59"/>
    <w:semiHidden/>
    <w:qFormat/>
    <w:rsid w:val="00DB001A"/>
    <w:pPr>
      <w:ind w:left="720"/>
      <w:contextualSpacing/>
    </w:pPr>
  </w:style>
  <w:style w:type="paragraph" w:styleId="Parties" w:customStyle="1">
    <w:name w:val="Parties"/>
    <w:basedOn w:val="Normal"/>
    <w:rsid w:val="00DB001A"/>
    <w:pPr>
      <w:numPr>
        <w:numId w:val="38"/>
      </w:numPr>
      <w:spacing w:after="260"/>
    </w:pPr>
  </w:style>
  <w:style w:type="paragraph" w:styleId="Recitals" w:customStyle="1">
    <w:name w:val="Recitals"/>
    <w:basedOn w:val="Normal"/>
    <w:rsid w:val="00DB001A"/>
    <w:pPr>
      <w:numPr>
        <w:numId w:val="39"/>
      </w:numPr>
      <w:spacing w:after="260"/>
    </w:pPr>
  </w:style>
  <w:style w:type="paragraph" w:styleId="SchHead1" w:customStyle="1">
    <w:name w:val="Sch Head 1"/>
    <w:basedOn w:val="SchLevel1"/>
    <w:next w:val="ssPara1"/>
    <w:uiPriority w:val="49"/>
    <w:semiHidden/>
    <w:rsid w:val="00DB001A"/>
    <w:rPr>
      <w:b/>
      <w:u w:val="single"/>
    </w:rPr>
  </w:style>
  <w:style w:type="paragraph" w:styleId="SchHead2" w:customStyle="1">
    <w:name w:val="Sch Head 2"/>
    <w:basedOn w:val="SchLevel2"/>
    <w:next w:val="ssPara2"/>
    <w:uiPriority w:val="49"/>
    <w:semiHidden/>
    <w:rsid w:val="00DB001A"/>
    <w:rPr>
      <w:b/>
    </w:rPr>
  </w:style>
  <w:style w:type="paragraph" w:styleId="SchLevel1" w:customStyle="1">
    <w:name w:val="Sch Level 1"/>
    <w:basedOn w:val="Heading1"/>
    <w:uiPriority w:val="49"/>
    <w:semiHidden/>
    <w:rsid w:val="00DB001A"/>
    <w:pPr>
      <w:outlineLvl w:val="1"/>
    </w:pPr>
    <w:rPr>
      <w:b w:val="0"/>
      <w:u w:val="none"/>
    </w:rPr>
  </w:style>
  <w:style w:type="paragraph" w:styleId="SchLevel2" w:customStyle="1">
    <w:name w:val="Sch Level 2"/>
    <w:basedOn w:val="Heading2"/>
    <w:uiPriority w:val="49"/>
    <w:semiHidden/>
    <w:rsid w:val="00DB001A"/>
    <w:pPr>
      <w:outlineLvl w:val="2"/>
    </w:pPr>
    <w:rPr>
      <w:b w:val="0"/>
    </w:rPr>
  </w:style>
  <w:style w:type="paragraph" w:styleId="SchLevel3" w:customStyle="1">
    <w:name w:val="Sch Level 3"/>
    <w:basedOn w:val="Heading3"/>
    <w:uiPriority w:val="49"/>
    <w:semiHidden/>
    <w:rsid w:val="00DB001A"/>
    <w:pPr>
      <w:outlineLvl w:val="3"/>
    </w:pPr>
    <w:rPr>
      <w:b w:val="0"/>
    </w:rPr>
  </w:style>
  <w:style w:type="paragraph" w:styleId="SchHead3" w:customStyle="1">
    <w:name w:val="Sch Head 3"/>
    <w:basedOn w:val="SchLevel3"/>
    <w:next w:val="ssPara3"/>
    <w:uiPriority w:val="49"/>
    <w:semiHidden/>
    <w:rsid w:val="00DB001A"/>
    <w:rPr>
      <w:b/>
    </w:rPr>
  </w:style>
  <w:style w:type="paragraph" w:styleId="SchLevel4" w:customStyle="1">
    <w:name w:val="Sch Level 4"/>
    <w:basedOn w:val="Heading4"/>
    <w:uiPriority w:val="49"/>
    <w:semiHidden/>
    <w:rsid w:val="00DB001A"/>
    <w:pPr>
      <w:outlineLvl w:val="4"/>
    </w:pPr>
    <w:rPr>
      <w:b w:val="0"/>
    </w:rPr>
  </w:style>
  <w:style w:type="paragraph" w:styleId="SchHead4" w:customStyle="1">
    <w:name w:val="Sch Head 4"/>
    <w:basedOn w:val="SchLevel4"/>
    <w:next w:val="ssPara4"/>
    <w:uiPriority w:val="49"/>
    <w:semiHidden/>
    <w:rsid w:val="00DB001A"/>
    <w:rPr>
      <w:b/>
    </w:rPr>
  </w:style>
  <w:style w:type="paragraph" w:styleId="SchLevel5" w:customStyle="1">
    <w:name w:val="Sch Level 5"/>
    <w:basedOn w:val="Heading5"/>
    <w:uiPriority w:val="49"/>
    <w:semiHidden/>
    <w:rsid w:val="00DB001A"/>
    <w:pPr>
      <w:outlineLvl w:val="5"/>
    </w:pPr>
    <w:rPr>
      <w:b w:val="0"/>
    </w:rPr>
  </w:style>
  <w:style w:type="paragraph" w:styleId="SchHead5" w:customStyle="1">
    <w:name w:val="Sch Head 5"/>
    <w:basedOn w:val="SchLevel5"/>
    <w:next w:val="ssPara5"/>
    <w:uiPriority w:val="49"/>
    <w:semiHidden/>
    <w:rsid w:val="00DB001A"/>
    <w:rPr>
      <w:b/>
    </w:rPr>
  </w:style>
  <w:style w:type="paragraph" w:styleId="SchLevel6" w:customStyle="1">
    <w:name w:val="Sch Level 6"/>
    <w:basedOn w:val="Heading6"/>
    <w:uiPriority w:val="49"/>
    <w:semiHidden/>
    <w:rsid w:val="00DB001A"/>
    <w:pPr>
      <w:outlineLvl w:val="6"/>
    </w:pPr>
    <w:rPr>
      <w:b w:val="0"/>
    </w:rPr>
  </w:style>
  <w:style w:type="paragraph" w:styleId="SchHead6" w:customStyle="1">
    <w:name w:val="Sch Head 6"/>
    <w:basedOn w:val="SchLevel6"/>
    <w:next w:val="ssPara6"/>
    <w:uiPriority w:val="49"/>
    <w:semiHidden/>
    <w:rsid w:val="00DB001A"/>
    <w:rPr>
      <w:b/>
    </w:rPr>
  </w:style>
  <w:style w:type="paragraph" w:styleId="ssqSchedule" w:customStyle="1">
    <w:name w:val="ssqSchedule"/>
    <w:basedOn w:val="ssPara1"/>
    <w:next w:val="ssPara"/>
    <w:uiPriority w:val="5"/>
    <w:qFormat/>
    <w:rsid w:val="00581B3E"/>
    <w:pPr>
      <w:pageBreakBefore/>
      <w:numPr>
        <w:numId w:val="56"/>
      </w:numPr>
      <w:jc w:val="center"/>
    </w:pPr>
    <w:rPr>
      <w:rFonts w:eastAsia="MingLiU"/>
      <w:b/>
      <w:caps/>
    </w:rPr>
  </w:style>
  <w:style w:type="paragraph" w:styleId="ssqSection" w:customStyle="1">
    <w:name w:val="ssqSection"/>
    <w:basedOn w:val="ssPara1"/>
    <w:next w:val="ssPara"/>
    <w:uiPriority w:val="45"/>
    <w:qFormat/>
    <w:rsid w:val="00581B3E"/>
    <w:pPr>
      <w:numPr>
        <w:numId w:val="59"/>
      </w:numPr>
      <w:jc w:val="center"/>
    </w:pPr>
    <w:rPr>
      <w:b/>
      <w:caps/>
    </w:rPr>
  </w:style>
  <w:style w:type="paragraph" w:styleId="ssPara" w:customStyle="1">
    <w:name w:val="ssPara"/>
    <w:basedOn w:val="Normal"/>
    <w:uiPriority w:val="1"/>
    <w:qFormat/>
    <w:rsid w:val="00DB001A"/>
    <w:pPr>
      <w:numPr>
        <w:numId w:val="49"/>
      </w:numPr>
      <w:spacing w:after="260"/>
    </w:pPr>
  </w:style>
  <w:style w:type="paragraph" w:styleId="ssPara1" w:customStyle="1">
    <w:name w:val="ssPara1"/>
    <w:basedOn w:val="Normal"/>
    <w:link w:val="ssPara1Char"/>
    <w:uiPriority w:val="1"/>
    <w:qFormat/>
    <w:rsid w:val="00DB001A"/>
    <w:pPr>
      <w:numPr>
        <w:ilvl w:val="1"/>
        <w:numId w:val="49"/>
      </w:numPr>
      <w:spacing w:after="260"/>
    </w:pPr>
  </w:style>
  <w:style w:type="paragraph" w:styleId="ssPara2" w:customStyle="1">
    <w:name w:val="ssPara2"/>
    <w:basedOn w:val="Normal"/>
    <w:uiPriority w:val="1"/>
    <w:qFormat/>
    <w:rsid w:val="00DB001A"/>
    <w:pPr>
      <w:numPr>
        <w:ilvl w:val="2"/>
        <w:numId w:val="49"/>
      </w:numPr>
      <w:spacing w:after="260"/>
    </w:pPr>
  </w:style>
  <w:style w:type="paragraph" w:styleId="ssPara3" w:customStyle="1">
    <w:name w:val="ssPara3"/>
    <w:basedOn w:val="Normal"/>
    <w:uiPriority w:val="1"/>
    <w:rsid w:val="00DB001A"/>
    <w:pPr>
      <w:numPr>
        <w:ilvl w:val="3"/>
        <w:numId w:val="49"/>
      </w:numPr>
      <w:spacing w:after="260"/>
    </w:pPr>
  </w:style>
  <w:style w:type="paragraph" w:styleId="ssPara4" w:customStyle="1">
    <w:name w:val="ssPara4"/>
    <w:basedOn w:val="Normal"/>
    <w:uiPriority w:val="1"/>
    <w:rsid w:val="00DB001A"/>
    <w:pPr>
      <w:numPr>
        <w:ilvl w:val="4"/>
        <w:numId w:val="49"/>
      </w:numPr>
      <w:spacing w:after="260"/>
    </w:pPr>
  </w:style>
  <w:style w:type="paragraph" w:styleId="ssPara5" w:customStyle="1">
    <w:name w:val="ssPara5"/>
    <w:basedOn w:val="Normal"/>
    <w:uiPriority w:val="1"/>
    <w:rsid w:val="00DB001A"/>
    <w:pPr>
      <w:numPr>
        <w:ilvl w:val="5"/>
        <w:numId w:val="49"/>
      </w:numPr>
      <w:spacing w:after="260"/>
    </w:pPr>
  </w:style>
  <w:style w:type="paragraph" w:styleId="ssPara6" w:customStyle="1">
    <w:name w:val="ssPara6"/>
    <w:basedOn w:val="Normal"/>
    <w:uiPriority w:val="1"/>
    <w:rsid w:val="00DB001A"/>
    <w:pPr>
      <w:numPr>
        <w:ilvl w:val="6"/>
        <w:numId w:val="49"/>
      </w:numPr>
      <w:spacing w:after="260"/>
    </w:pPr>
  </w:style>
  <w:style w:type="paragraph" w:styleId="TOC1">
    <w:name w:val="toc 1"/>
    <w:basedOn w:val="Normal"/>
    <w:next w:val="Normal"/>
    <w:autoRedefine/>
    <w:uiPriority w:val="39"/>
    <w:rsid w:val="00D6561D"/>
    <w:pPr>
      <w:tabs>
        <w:tab w:val="right" w:leader="dot" w:pos="9497"/>
      </w:tabs>
      <w:spacing w:before="260"/>
      <w:ind w:left="709" w:right="595" w:hanging="709"/>
    </w:pPr>
    <w:rPr>
      <w:rFonts w:eastAsia="Times New Roman"/>
    </w:rPr>
  </w:style>
  <w:style w:type="paragraph" w:styleId="TOC2">
    <w:name w:val="toc 2"/>
    <w:basedOn w:val="Normal"/>
    <w:next w:val="Normal"/>
    <w:autoRedefine/>
    <w:uiPriority w:val="39"/>
    <w:rsid w:val="00DB001A"/>
    <w:pPr>
      <w:tabs>
        <w:tab w:val="right" w:leader="dot" w:pos="9497"/>
      </w:tabs>
      <w:spacing w:before="260"/>
      <w:ind w:left="1418" w:right="595" w:hanging="709"/>
    </w:pPr>
    <w:rPr>
      <w:rFonts w:eastAsia="Times New Roman"/>
    </w:rPr>
  </w:style>
  <w:style w:type="paragraph" w:styleId="TOC3">
    <w:name w:val="toc 3"/>
    <w:basedOn w:val="Normal"/>
    <w:next w:val="Normal"/>
    <w:autoRedefine/>
    <w:uiPriority w:val="39"/>
    <w:rsid w:val="00DB001A"/>
    <w:pPr>
      <w:tabs>
        <w:tab w:val="right" w:leader="dot" w:pos="9497"/>
      </w:tabs>
      <w:spacing w:before="260"/>
      <w:ind w:left="2127" w:right="595" w:hanging="709"/>
    </w:pPr>
    <w:rPr>
      <w:rFonts w:eastAsia="Times New Roman"/>
    </w:rPr>
  </w:style>
  <w:style w:type="paragraph" w:styleId="TOC4">
    <w:name w:val="toc 4"/>
    <w:basedOn w:val="Normal"/>
    <w:next w:val="Normal"/>
    <w:autoRedefine/>
    <w:uiPriority w:val="39"/>
    <w:rsid w:val="00DB001A"/>
    <w:pPr>
      <w:tabs>
        <w:tab w:val="right" w:leader="dot" w:pos="9497"/>
      </w:tabs>
      <w:spacing w:before="260"/>
      <w:ind w:left="2694" w:right="595" w:hanging="709"/>
    </w:pPr>
    <w:rPr>
      <w:rFonts w:eastAsia="Times New Roman"/>
    </w:rPr>
  </w:style>
  <w:style w:type="table" w:styleId="Training" w:customStyle="1">
    <w:name w:val="Training"/>
    <w:basedOn w:val="TableNormal"/>
    <w:uiPriority w:val="99"/>
    <w:rsid w:val="00DB001A"/>
    <w:pPr>
      <w:spacing w:before="120"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jc w:val="center"/>
      </w:pPr>
      <w:rPr>
        <w:rFonts w:ascii="Arial" w:hAnsi="Arial"/>
      </w:rPr>
    </w:tblStylePr>
  </w:style>
  <w:style w:type="character" w:styleId="PageNumber">
    <w:name w:val="page number"/>
    <w:uiPriority w:val="99"/>
    <w:semiHidden/>
    <w:rsid w:val="00DB001A"/>
    <w:rPr>
      <w:rFonts w:ascii="Arial" w:hAnsi="Arial"/>
      <w:sz w:val="20"/>
    </w:rPr>
  </w:style>
  <w:style w:type="paragraph" w:styleId="ssContactDetails" w:customStyle="1">
    <w:name w:val="ssContactDetails"/>
    <w:basedOn w:val="Normal"/>
    <w:rsid w:val="00DB001A"/>
    <w:pPr>
      <w:spacing w:line="260" w:lineRule="exact"/>
    </w:pPr>
    <w:rPr>
      <w:rFonts w:eastAsia="MingLiU" w:cs="Times New Roman"/>
      <w:sz w:val="16"/>
      <w:szCs w:val="16"/>
      <w:lang w:eastAsia="ja-JP"/>
    </w:rPr>
  </w:style>
  <w:style w:type="paragraph" w:styleId="ssSpacingLine" w:customStyle="1">
    <w:name w:val="ssSpacingLine"/>
    <w:basedOn w:val="Normal"/>
    <w:rsid w:val="00DB001A"/>
    <w:pPr>
      <w:spacing w:line="260" w:lineRule="atLeast"/>
    </w:pPr>
    <w:rPr>
      <w:rFonts w:eastAsia="MingLiU" w:cs="Times New Roman"/>
      <w:lang w:eastAsia="ja-JP"/>
    </w:rPr>
  </w:style>
  <w:style w:type="paragraph" w:styleId="ssUserEntry" w:customStyle="1">
    <w:name w:val="ssUserEntry"/>
    <w:basedOn w:val="Normal"/>
    <w:rsid w:val="00DB001A"/>
    <w:pPr>
      <w:spacing w:line="260" w:lineRule="exact"/>
    </w:pPr>
    <w:rPr>
      <w:rFonts w:eastAsia="MingLiU" w:cs="Times New Roman"/>
      <w:lang w:eastAsia="ja-JP"/>
    </w:rPr>
  </w:style>
  <w:style w:type="paragraph" w:styleId="ssLegendsUnderlined" w:customStyle="1">
    <w:name w:val="ssLegendsUnderlined"/>
    <w:basedOn w:val="Normal"/>
    <w:semiHidden/>
    <w:rsid w:val="00DB001A"/>
    <w:pPr>
      <w:spacing w:line="260" w:lineRule="exact"/>
      <w:jc w:val="right"/>
    </w:pPr>
    <w:rPr>
      <w:rFonts w:eastAsia="MingLiU" w:cs="Times New Roman" w:asciiTheme="minorHAnsi" w:hAnsiTheme="minorHAnsi"/>
      <w:b/>
      <w:u w:val="single"/>
      <w:lang w:eastAsia="ja-JP"/>
    </w:rPr>
  </w:style>
  <w:style w:type="paragraph" w:styleId="ssDocName" w:customStyle="1">
    <w:name w:val="ssDocName"/>
    <w:basedOn w:val="Normal"/>
    <w:semiHidden/>
    <w:rsid w:val="00DB001A"/>
    <w:pPr>
      <w:spacing w:before="120" w:after="800" w:line="260" w:lineRule="atLeast"/>
    </w:pPr>
    <w:rPr>
      <w:rFonts w:eastAsia="MingLiU" w:cs="Times New Roman"/>
      <w:sz w:val="54"/>
      <w:szCs w:val="54"/>
    </w:rPr>
  </w:style>
  <w:style w:type="paragraph" w:styleId="ssRole" w:customStyle="1">
    <w:name w:val="ssRole"/>
    <w:basedOn w:val="Normal"/>
    <w:semiHidden/>
    <w:rsid w:val="00DB001A"/>
    <w:pPr>
      <w:spacing w:line="260" w:lineRule="atLeast"/>
    </w:pPr>
    <w:rPr>
      <w:rFonts w:eastAsia="MingLiU" w:cs="Times New Roman"/>
      <w:sz w:val="18"/>
      <w:szCs w:val="18"/>
    </w:rPr>
  </w:style>
  <w:style w:type="paragraph" w:styleId="ssParty" w:customStyle="1">
    <w:name w:val="ssParty"/>
    <w:basedOn w:val="Normal"/>
    <w:uiPriority w:val="19"/>
    <w:rsid w:val="00DB001A"/>
    <w:pPr>
      <w:spacing w:line="260" w:lineRule="atLeast"/>
    </w:pPr>
    <w:rPr>
      <w:rFonts w:eastAsia="MingLiU" w:cs="Times New Roman" w:asciiTheme="minorHAnsi" w:hAnsiTheme="minorHAnsi"/>
      <w:sz w:val="28"/>
      <w:szCs w:val="28"/>
      <w:lang w:eastAsia="en-GB"/>
    </w:rPr>
  </w:style>
  <w:style w:type="paragraph" w:styleId="ssContents" w:customStyle="1">
    <w:name w:val="ssContents"/>
    <w:basedOn w:val="Normal"/>
    <w:uiPriority w:val="49"/>
    <w:semiHidden/>
    <w:rsid w:val="00DB001A"/>
    <w:pPr>
      <w:spacing w:before="20"/>
      <w:jc w:val="center"/>
    </w:pPr>
    <w:rPr>
      <w:rFonts w:eastAsia="MingLiU" w:cs="Times New Roman"/>
      <w:b/>
      <w:caps/>
    </w:rPr>
  </w:style>
  <w:style w:type="paragraph" w:styleId="ssAgrTypeText" w:customStyle="1">
    <w:name w:val="ssAgrTypeText"/>
    <w:basedOn w:val="Normal"/>
    <w:uiPriority w:val="99"/>
    <w:semiHidden/>
    <w:rsid w:val="00DB001A"/>
    <w:pPr>
      <w:keepNext/>
      <w:spacing w:after="260"/>
      <w:outlineLvl w:val="0"/>
    </w:pPr>
    <w:rPr>
      <w:rFonts w:cs="Arial"/>
      <w:b/>
      <w:bCs/>
      <w:caps/>
    </w:rPr>
  </w:style>
  <w:style w:type="table" w:styleId="TableGrid">
    <w:name w:val="Table Grid"/>
    <w:basedOn w:val="TableNormal"/>
    <w:uiPriority w:val="39"/>
    <w:rsid w:val="00DB001A"/>
    <w:rPr>
      <w:rFonts w:eastAsia="SimSun"/>
      <w:szCs w:val="20"/>
    </w:rPr>
    <w:tblPr/>
  </w:style>
  <w:style w:type="character" w:styleId="Heading7Char" w:customStyle="1">
    <w:name w:val="Heading 7 Char"/>
    <w:basedOn w:val="DefaultParagraphFont"/>
    <w:link w:val="Heading7"/>
    <w:uiPriority w:val="9"/>
    <w:semiHidden/>
    <w:rsid w:val="00DB001A"/>
    <w:rPr>
      <w:rFonts w:eastAsia="MingLiU" w:asciiTheme="minorHAnsi" w:hAnsiTheme="minorHAnsi"/>
      <w:szCs w:val="24"/>
    </w:rPr>
  </w:style>
  <w:style w:type="paragraph" w:styleId="Notes" w:customStyle="1">
    <w:name w:val="Notes"/>
    <w:basedOn w:val="Normal"/>
    <w:rsid w:val="00DB001A"/>
    <w:pPr>
      <w:pBdr>
        <w:top w:val="single" w:color="auto" w:sz="12" w:space="1"/>
        <w:left w:val="single" w:color="auto" w:sz="12" w:space="4"/>
        <w:bottom w:val="single" w:color="auto" w:sz="12" w:space="1"/>
        <w:right w:val="single" w:color="auto" w:sz="12" w:space="4"/>
      </w:pBdr>
      <w:spacing w:after="260"/>
    </w:pPr>
    <w:rPr>
      <w:b/>
      <w:i/>
      <w:color w:val="FF0000"/>
      <w:sz w:val="18"/>
    </w:rPr>
  </w:style>
  <w:style w:type="numbering" w:styleId="NumDefinitions" w:customStyle="1">
    <w:name w:val="NumDefinitions"/>
    <w:uiPriority w:val="99"/>
    <w:rsid w:val="00DB001A"/>
    <w:pPr>
      <w:numPr>
        <w:numId w:val="32"/>
      </w:numPr>
    </w:pPr>
  </w:style>
  <w:style w:type="numbering" w:styleId="NumMain" w:customStyle="1">
    <w:name w:val="NumMain"/>
    <w:uiPriority w:val="99"/>
    <w:rsid w:val="00DB001A"/>
    <w:pPr>
      <w:numPr>
        <w:numId w:val="33"/>
      </w:numPr>
    </w:pPr>
  </w:style>
  <w:style w:type="numbering" w:styleId="NumPara" w:customStyle="1">
    <w:name w:val="NumPara"/>
    <w:uiPriority w:val="99"/>
    <w:rsid w:val="00DB001A"/>
    <w:pPr>
      <w:numPr>
        <w:numId w:val="34"/>
      </w:numPr>
    </w:pPr>
  </w:style>
  <w:style w:type="numbering" w:styleId="NumParties" w:customStyle="1">
    <w:name w:val="NumParties"/>
    <w:uiPriority w:val="99"/>
    <w:rsid w:val="00DB001A"/>
    <w:pPr>
      <w:numPr>
        <w:numId w:val="35"/>
      </w:numPr>
    </w:pPr>
  </w:style>
  <w:style w:type="numbering" w:styleId="NumRecitals" w:customStyle="1">
    <w:name w:val="NumRecitals"/>
    <w:uiPriority w:val="99"/>
    <w:rsid w:val="00DB001A"/>
    <w:pPr>
      <w:numPr>
        <w:numId w:val="36"/>
      </w:numPr>
    </w:pPr>
  </w:style>
  <w:style w:type="numbering" w:styleId="NumSch" w:customStyle="1">
    <w:name w:val="NumSch"/>
    <w:uiPriority w:val="99"/>
    <w:rsid w:val="00DB001A"/>
    <w:pPr>
      <w:numPr>
        <w:numId w:val="37"/>
      </w:numPr>
    </w:pPr>
  </w:style>
  <w:style w:type="paragraph" w:styleId="ssAsiaLogo" w:customStyle="1">
    <w:name w:val="ssAsiaLogo"/>
    <w:basedOn w:val="Normal"/>
    <w:uiPriority w:val="49"/>
    <w:semiHidden/>
    <w:rsid w:val="00DB001A"/>
    <w:pPr>
      <w:spacing w:before="240"/>
      <w:jc w:val="left"/>
    </w:pPr>
    <w:rPr>
      <w:rFonts w:ascii="DFKai-SB" w:hAnsi="DFKai-SB" w:eastAsia="DFKai-SB"/>
      <w:sz w:val="40"/>
      <w:szCs w:val="40"/>
    </w:rPr>
  </w:style>
  <w:style w:type="paragraph" w:styleId="ssUserEntryLettered" w:customStyle="1">
    <w:name w:val="ssUserEntryLettered"/>
    <w:basedOn w:val="ssUserEntry"/>
    <w:uiPriority w:val="49"/>
    <w:semiHidden/>
    <w:qFormat/>
    <w:rsid w:val="00DB001A"/>
    <w:pPr>
      <w:numPr>
        <w:numId w:val="40"/>
      </w:numPr>
    </w:pPr>
  </w:style>
  <w:style w:type="paragraph" w:styleId="ssUserEntryNumbered" w:customStyle="1">
    <w:name w:val="ssUserEntryNumbered"/>
    <w:basedOn w:val="ssUserEntry"/>
    <w:uiPriority w:val="49"/>
    <w:semiHidden/>
    <w:qFormat/>
    <w:rsid w:val="00DB001A"/>
    <w:pPr>
      <w:numPr>
        <w:numId w:val="41"/>
      </w:numPr>
    </w:pPr>
  </w:style>
  <w:style w:type="character" w:styleId="PlaceholderText">
    <w:name w:val="Placeholder Text"/>
    <w:basedOn w:val="DefaultParagraphFont"/>
    <w:uiPriority w:val="99"/>
    <w:semiHidden/>
    <w:rsid w:val="00DB001A"/>
    <w:rPr>
      <w:color w:val="808080"/>
    </w:rPr>
  </w:style>
  <w:style w:type="paragraph" w:styleId="SummaryParties" w:customStyle="1">
    <w:name w:val="Summary Parties"/>
    <w:basedOn w:val="ssPara"/>
    <w:uiPriority w:val="59"/>
    <w:semiHidden/>
    <w:rsid w:val="00DB001A"/>
    <w:pPr>
      <w:tabs>
        <w:tab w:val="left" w:pos="4536"/>
      </w:tabs>
    </w:pPr>
  </w:style>
  <w:style w:type="paragraph" w:styleId="ssqAnnexe" w:customStyle="1">
    <w:name w:val="ssqAnnexe"/>
    <w:basedOn w:val="Normal"/>
    <w:next w:val="ssPara1"/>
    <w:link w:val="ssqAnnexeChar"/>
    <w:uiPriority w:val="10"/>
    <w:semiHidden/>
    <w:rsid w:val="00DB001A"/>
    <w:pPr>
      <w:pageBreakBefore/>
      <w:numPr>
        <w:numId w:val="5"/>
      </w:numPr>
      <w:spacing w:after="260"/>
      <w:jc w:val="center"/>
    </w:pPr>
    <w:rPr>
      <w:rFonts w:eastAsia="MingLiU" w:cs="Times New Roman" w:asciiTheme="minorHAnsi" w:hAnsiTheme="minorHAnsi"/>
      <w:b/>
      <w:caps/>
      <w:lang w:eastAsia="en-GB"/>
    </w:rPr>
  </w:style>
  <w:style w:type="paragraph" w:styleId="ssqListe" w:customStyle="1">
    <w:name w:val="ssqListe"/>
    <w:basedOn w:val="ssPara1"/>
    <w:next w:val="ssPara1"/>
    <w:link w:val="ssqListeChar"/>
    <w:uiPriority w:val="10"/>
    <w:semiHidden/>
    <w:rsid w:val="00DB001A"/>
    <w:pPr>
      <w:pageBreakBefore/>
      <w:numPr>
        <w:ilvl w:val="0"/>
        <w:numId w:val="11"/>
      </w:numPr>
      <w:jc w:val="center"/>
    </w:pPr>
    <w:rPr>
      <w:rFonts w:eastAsia="MingLiU"/>
      <w:b/>
      <w:caps/>
    </w:rPr>
  </w:style>
  <w:style w:type="paragraph" w:styleId="ssqAgendar" w:customStyle="1">
    <w:name w:val="ssqAgendar"/>
    <w:basedOn w:val="ssPara1"/>
    <w:next w:val="ssPara1"/>
    <w:link w:val="ssqAgendarChar"/>
    <w:uiPriority w:val="10"/>
    <w:semiHidden/>
    <w:rsid w:val="00DB001A"/>
    <w:pPr>
      <w:pageBreakBefore/>
      <w:numPr>
        <w:ilvl w:val="0"/>
        <w:numId w:val="1"/>
      </w:numPr>
      <w:jc w:val="center"/>
    </w:pPr>
    <w:rPr>
      <w:rFonts w:eastAsia="MingLiU"/>
      <w:b/>
      <w:caps/>
    </w:rPr>
  </w:style>
  <w:style w:type="character" w:styleId="ssPara1Char" w:customStyle="1">
    <w:name w:val="ssPara1 Char"/>
    <w:basedOn w:val="DefaultParagraphFont"/>
    <w:link w:val="ssPara1"/>
    <w:uiPriority w:val="1"/>
    <w:rsid w:val="00DB001A"/>
    <w:rPr>
      <w:rFonts w:eastAsiaTheme="minorHAnsi" w:cstheme="minorBidi"/>
      <w:lang w:eastAsia="en-US"/>
    </w:rPr>
  </w:style>
  <w:style w:type="character" w:styleId="ssqListeChar" w:customStyle="1">
    <w:name w:val="ssqListe Char"/>
    <w:basedOn w:val="ssPara1Char"/>
    <w:link w:val="ssqListe"/>
    <w:uiPriority w:val="10"/>
    <w:semiHidden/>
    <w:rsid w:val="00FC43DC"/>
    <w:rPr>
      <w:rFonts w:eastAsia="MingLiU" w:cstheme="minorBidi"/>
      <w:b/>
      <w:caps/>
      <w:lang w:eastAsia="en-US"/>
    </w:rPr>
  </w:style>
  <w:style w:type="character" w:styleId="ssqAgendarChar" w:customStyle="1">
    <w:name w:val="ssqAgendar Char"/>
    <w:basedOn w:val="ssPara1Char"/>
    <w:link w:val="ssqAgendar"/>
    <w:uiPriority w:val="10"/>
    <w:semiHidden/>
    <w:rsid w:val="00DB001A"/>
    <w:rPr>
      <w:rFonts w:eastAsia="MingLiU" w:cstheme="minorBidi"/>
      <w:b/>
      <w:caps/>
      <w:lang w:eastAsia="en-US"/>
    </w:rPr>
  </w:style>
  <w:style w:type="paragraph" w:styleId="ssqAllegato" w:customStyle="1">
    <w:name w:val="ssqAllegato"/>
    <w:basedOn w:val="ssPara1"/>
    <w:next w:val="ssPara1"/>
    <w:link w:val="ssqAllegatoChar"/>
    <w:uiPriority w:val="10"/>
    <w:semiHidden/>
    <w:rsid w:val="00DB001A"/>
    <w:pPr>
      <w:numPr>
        <w:ilvl w:val="0"/>
        <w:numId w:val="2"/>
      </w:numPr>
      <w:jc w:val="center"/>
    </w:pPr>
    <w:rPr>
      <w:rFonts w:eastAsia="MingLiU"/>
      <w:b/>
      <w:caps/>
    </w:rPr>
  </w:style>
  <w:style w:type="character" w:styleId="ssqAllegatoChar" w:customStyle="1">
    <w:name w:val="ssqAllegato Char"/>
    <w:basedOn w:val="ssPara1Char"/>
    <w:link w:val="ssqAllegato"/>
    <w:uiPriority w:val="10"/>
    <w:semiHidden/>
    <w:rsid w:val="00DB001A"/>
    <w:rPr>
      <w:rFonts w:eastAsia="MingLiU" w:cstheme="minorBidi"/>
      <w:b/>
      <w:caps/>
      <w:lang w:eastAsia="en-US"/>
    </w:rPr>
  </w:style>
  <w:style w:type="paragraph" w:styleId="ssqAnexo" w:customStyle="1">
    <w:name w:val="ssqAnexo"/>
    <w:basedOn w:val="ssPara1"/>
    <w:next w:val="ssPara1"/>
    <w:link w:val="ssqAnexoChar"/>
    <w:uiPriority w:val="10"/>
    <w:semiHidden/>
    <w:rsid w:val="00DB001A"/>
    <w:pPr>
      <w:pageBreakBefore/>
      <w:numPr>
        <w:ilvl w:val="0"/>
        <w:numId w:val="3"/>
      </w:numPr>
      <w:jc w:val="center"/>
    </w:pPr>
    <w:rPr>
      <w:rFonts w:eastAsia="MingLiU"/>
      <w:b/>
      <w:caps/>
    </w:rPr>
  </w:style>
  <w:style w:type="character" w:styleId="ssqAnexoChar" w:customStyle="1">
    <w:name w:val="ssqAnexo Char"/>
    <w:basedOn w:val="ssPara1Char"/>
    <w:link w:val="ssqAnexo"/>
    <w:uiPriority w:val="10"/>
    <w:semiHidden/>
    <w:rsid w:val="00DB001A"/>
    <w:rPr>
      <w:rFonts w:eastAsia="MingLiU" w:cstheme="minorBidi"/>
      <w:b/>
      <w:caps/>
      <w:lang w:eastAsia="en-US"/>
    </w:rPr>
  </w:style>
  <w:style w:type="paragraph" w:styleId="ssqAnhang" w:customStyle="1">
    <w:name w:val="ssqAnhang"/>
    <w:basedOn w:val="ssPara1"/>
    <w:next w:val="ssPara1"/>
    <w:link w:val="ssqAnhangChar"/>
    <w:uiPriority w:val="10"/>
    <w:semiHidden/>
    <w:rsid w:val="00DB001A"/>
    <w:pPr>
      <w:pageBreakBefore/>
      <w:numPr>
        <w:ilvl w:val="0"/>
        <w:numId w:val="4"/>
      </w:numPr>
      <w:jc w:val="center"/>
    </w:pPr>
    <w:rPr>
      <w:rFonts w:eastAsia="MingLiU"/>
      <w:b/>
      <w:caps/>
    </w:rPr>
  </w:style>
  <w:style w:type="character" w:styleId="ssqAnhangChar" w:customStyle="1">
    <w:name w:val="ssqAnhang Char"/>
    <w:basedOn w:val="ssPara1Char"/>
    <w:link w:val="ssqAnhang"/>
    <w:uiPriority w:val="10"/>
    <w:semiHidden/>
    <w:rsid w:val="00DB001A"/>
    <w:rPr>
      <w:rFonts w:eastAsia="MingLiU" w:cstheme="minorBidi"/>
      <w:b/>
      <w:caps/>
      <w:lang w:eastAsia="en-US"/>
    </w:rPr>
  </w:style>
  <w:style w:type="paragraph" w:styleId="ssqAnlage" w:customStyle="1">
    <w:name w:val="ssqAnlage"/>
    <w:basedOn w:val="ssPara1"/>
    <w:next w:val="ssPara1"/>
    <w:link w:val="ssqAnlageChar"/>
    <w:uiPriority w:val="10"/>
    <w:semiHidden/>
    <w:rsid w:val="00DB001A"/>
    <w:pPr>
      <w:pageBreakBefore/>
      <w:numPr>
        <w:ilvl w:val="0"/>
        <w:numId w:val="48"/>
      </w:numPr>
      <w:jc w:val="center"/>
    </w:pPr>
    <w:rPr>
      <w:rFonts w:eastAsia="MingLiU"/>
      <w:b/>
      <w:caps/>
    </w:rPr>
  </w:style>
  <w:style w:type="character" w:styleId="ssqAnlageChar" w:customStyle="1">
    <w:name w:val="ssqAnlage Char"/>
    <w:basedOn w:val="ssPara1Char"/>
    <w:link w:val="ssqAnlage"/>
    <w:uiPriority w:val="10"/>
    <w:semiHidden/>
    <w:rsid w:val="00DB001A"/>
    <w:rPr>
      <w:rFonts w:eastAsia="MingLiU" w:cstheme="minorBidi"/>
      <w:b/>
      <w:caps/>
      <w:lang w:eastAsia="en-US"/>
    </w:rPr>
  </w:style>
  <w:style w:type="paragraph" w:styleId="ssqAnnex" w:customStyle="1">
    <w:name w:val="ssqAnnex"/>
    <w:basedOn w:val="ssPara1"/>
    <w:next w:val="ssPara1"/>
    <w:link w:val="ssqAnnexChar"/>
    <w:uiPriority w:val="10"/>
    <w:semiHidden/>
    <w:rsid w:val="00DB001A"/>
    <w:pPr>
      <w:pageBreakBefore/>
      <w:numPr>
        <w:ilvl w:val="0"/>
        <w:numId w:val="0"/>
      </w:numPr>
      <w:jc w:val="center"/>
    </w:pPr>
    <w:rPr>
      <w:rFonts w:eastAsia="MingLiU"/>
      <w:b/>
      <w:caps/>
    </w:rPr>
  </w:style>
  <w:style w:type="character" w:styleId="ssqAnnexChar" w:customStyle="1">
    <w:name w:val="ssqAnnex Char"/>
    <w:basedOn w:val="ssPara1Char"/>
    <w:link w:val="ssqAnnex"/>
    <w:uiPriority w:val="10"/>
    <w:semiHidden/>
    <w:rsid w:val="00FC43DC"/>
    <w:rPr>
      <w:rFonts w:eastAsia="MingLiU" w:cstheme="minorBidi"/>
      <w:b/>
      <w:caps/>
      <w:lang w:eastAsia="en-US"/>
    </w:rPr>
  </w:style>
  <w:style w:type="character" w:styleId="ssqAnnexeChar" w:customStyle="1">
    <w:name w:val="ssqAnnexe Char"/>
    <w:basedOn w:val="DefaultParagraphFont"/>
    <w:link w:val="ssqAnnexe"/>
    <w:uiPriority w:val="10"/>
    <w:semiHidden/>
    <w:rsid w:val="00FC43DC"/>
    <w:rPr>
      <w:rFonts w:eastAsia="MingLiU" w:asciiTheme="minorHAnsi" w:hAnsiTheme="minorHAnsi"/>
      <w:b/>
      <w:caps/>
    </w:rPr>
  </w:style>
  <w:style w:type="paragraph" w:styleId="ssqApndice" w:customStyle="1">
    <w:name w:val="ssqApéndice"/>
    <w:basedOn w:val="ssPara1"/>
    <w:next w:val="ssPara1"/>
    <w:link w:val="ssqApndiceChar"/>
    <w:uiPriority w:val="10"/>
    <w:semiHidden/>
    <w:rsid w:val="00DB001A"/>
    <w:pPr>
      <w:pageBreakBefore/>
      <w:numPr>
        <w:ilvl w:val="0"/>
        <w:numId w:val="6"/>
      </w:numPr>
      <w:jc w:val="center"/>
    </w:pPr>
    <w:rPr>
      <w:rFonts w:eastAsia="MingLiU"/>
      <w:b/>
      <w:caps/>
    </w:rPr>
  </w:style>
  <w:style w:type="character" w:styleId="ssqApndiceChar" w:customStyle="1">
    <w:name w:val="ssqApéndice Char"/>
    <w:basedOn w:val="ssPara1Char"/>
    <w:link w:val="ssqApndice"/>
    <w:uiPriority w:val="10"/>
    <w:semiHidden/>
    <w:rsid w:val="00FC43DC"/>
    <w:rPr>
      <w:rFonts w:eastAsia="MingLiU" w:cstheme="minorBidi"/>
      <w:b/>
      <w:caps/>
      <w:lang w:eastAsia="en-US"/>
    </w:rPr>
  </w:style>
  <w:style w:type="paragraph" w:styleId="ssqAppendice" w:customStyle="1">
    <w:name w:val="ssqAppendice"/>
    <w:basedOn w:val="ssPara1"/>
    <w:next w:val="ssPara1"/>
    <w:link w:val="ssqAppendiceChar"/>
    <w:uiPriority w:val="10"/>
    <w:semiHidden/>
    <w:rsid w:val="00DB001A"/>
    <w:pPr>
      <w:pageBreakBefore/>
      <w:numPr>
        <w:ilvl w:val="0"/>
        <w:numId w:val="7"/>
      </w:numPr>
      <w:jc w:val="center"/>
    </w:pPr>
    <w:rPr>
      <w:rFonts w:eastAsia="MingLiU"/>
      <w:b/>
      <w:caps/>
    </w:rPr>
  </w:style>
  <w:style w:type="character" w:styleId="ssqAppendiceChar" w:customStyle="1">
    <w:name w:val="ssqAppendice Char"/>
    <w:basedOn w:val="ssPara1Char"/>
    <w:link w:val="ssqAppendice"/>
    <w:uiPriority w:val="10"/>
    <w:semiHidden/>
    <w:rsid w:val="00FC43DC"/>
    <w:rPr>
      <w:rFonts w:eastAsia="MingLiU" w:cstheme="minorBidi"/>
      <w:b/>
      <w:caps/>
      <w:lang w:eastAsia="en-US"/>
    </w:rPr>
  </w:style>
  <w:style w:type="paragraph" w:styleId="ssqApresentar" w:customStyle="1">
    <w:name w:val="ssqApresentar"/>
    <w:basedOn w:val="ssPara1"/>
    <w:next w:val="ssPara1"/>
    <w:link w:val="ssqApresentarChar"/>
    <w:uiPriority w:val="10"/>
    <w:semiHidden/>
    <w:rsid w:val="00DB001A"/>
    <w:pPr>
      <w:pageBreakBefore/>
      <w:numPr>
        <w:ilvl w:val="0"/>
        <w:numId w:val="8"/>
      </w:numPr>
      <w:jc w:val="center"/>
    </w:pPr>
    <w:rPr>
      <w:rFonts w:eastAsia="MingLiU"/>
      <w:b/>
      <w:caps/>
    </w:rPr>
  </w:style>
  <w:style w:type="character" w:styleId="ssqApresentarChar" w:customStyle="1">
    <w:name w:val="ssqApresentar Char"/>
    <w:basedOn w:val="ssPara1Char"/>
    <w:link w:val="ssqApresentar"/>
    <w:uiPriority w:val="10"/>
    <w:semiHidden/>
    <w:rsid w:val="00FC43DC"/>
    <w:rPr>
      <w:rFonts w:eastAsia="MingLiU" w:cstheme="minorBidi"/>
      <w:b/>
      <w:caps/>
      <w:lang w:eastAsia="en-US"/>
    </w:rPr>
  </w:style>
  <w:style w:type="paragraph" w:styleId="ssqCalendario" w:customStyle="1">
    <w:name w:val="ssqCalendario"/>
    <w:basedOn w:val="ssPara1"/>
    <w:next w:val="ssPara1"/>
    <w:link w:val="ssqCalendarioChar"/>
    <w:uiPriority w:val="10"/>
    <w:semiHidden/>
    <w:rsid w:val="00DB001A"/>
    <w:pPr>
      <w:pageBreakBefore/>
      <w:numPr>
        <w:ilvl w:val="0"/>
        <w:numId w:val="9"/>
      </w:numPr>
      <w:jc w:val="center"/>
    </w:pPr>
    <w:rPr>
      <w:rFonts w:eastAsia="MingLiU"/>
      <w:b/>
      <w:caps/>
    </w:rPr>
  </w:style>
  <w:style w:type="character" w:styleId="ssqCalendarioChar" w:customStyle="1">
    <w:name w:val="ssqCalendario Char"/>
    <w:basedOn w:val="ssPara1Char"/>
    <w:link w:val="ssqCalendario"/>
    <w:uiPriority w:val="10"/>
    <w:semiHidden/>
    <w:rsid w:val="00FC43DC"/>
    <w:rPr>
      <w:rFonts w:eastAsia="MingLiU" w:cstheme="minorBidi"/>
      <w:b/>
      <w:caps/>
      <w:lang w:eastAsia="en-US"/>
    </w:rPr>
  </w:style>
  <w:style w:type="paragraph" w:styleId="ssqExibir" w:customStyle="1">
    <w:name w:val="ssqExibir"/>
    <w:basedOn w:val="ssPara1"/>
    <w:next w:val="ssPara1"/>
    <w:link w:val="ssqExibirChar"/>
    <w:uiPriority w:val="10"/>
    <w:semiHidden/>
    <w:rsid w:val="00DB001A"/>
    <w:pPr>
      <w:pageBreakBefore/>
      <w:numPr>
        <w:ilvl w:val="0"/>
        <w:numId w:val="10"/>
      </w:numPr>
      <w:jc w:val="center"/>
    </w:pPr>
    <w:rPr>
      <w:rFonts w:eastAsia="MingLiU"/>
      <w:b/>
      <w:caps/>
    </w:rPr>
  </w:style>
  <w:style w:type="character" w:styleId="ssqExibirChar" w:customStyle="1">
    <w:name w:val="ssqExibir Char"/>
    <w:basedOn w:val="ssPara1Char"/>
    <w:link w:val="ssqExibir"/>
    <w:uiPriority w:val="10"/>
    <w:semiHidden/>
    <w:rsid w:val="00FC43DC"/>
    <w:rPr>
      <w:rFonts w:eastAsia="MingLiU" w:cstheme="minorBidi"/>
      <w:b/>
      <w:caps/>
      <w:lang w:eastAsia="en-US"/>
    </w:rPr>
  </w:style>
  <w:style w:type="paragraph" w:styleId="ssqExposicin" w:customStyle="1">
    <w:name w:val="ssqExposición"/>
    <w:basedOn w:val="ssPara1"/>
    <w:next w:val="ssPara1"/>
    <w:link w:val="ssqExposicinChar"/>
    <w:uiPriority w:val="10"/>
    <w:semiHidden/>
    <w:rsid w:val="00DB001A"/>
    <w:pPr>
      <w:pageBreakBefore/>
      <w:numPr>
        <w:ilvl w:val="0"/>
        <w:numId w:val="53"/>
      </w:numPr>
      <w:jc w:val="center"/>
    </w:pPr>
    <w:rPr>
      <w:rFonts w:eastAsia="MingLiU"/>
      <w:b/>
      <w:caps/>
    </w:rPr>
  </w:style>
  <w:style w:type="character" w:styleId="ssqExposicinChar" w:customStyle="1">
    <w:name w:val="ssqExposición Char"/>
    <w:basedOn w:val="ssPara1Char"/>
    <w:link w:val="ssqExposicin"/>
    <w:uiPriority w:val="10"/>
    <w:semiHidden/>
    <w:rsid w:val="00FC43DC"/>
    <w:rPr>
      <w:rFonts w:eastAsia="MingLiU" w:cstheme="minorBidi"/>
      <w:b/>
      <w:caps/>
      <w:lang w:eastAsia="en-US"/>
    </w:rPr>
  </w:style>
  <w:style w:type="paragraph" w:styleId="ssqMarcao" w:customStyle="1">
    <w:name w:val="ssqMarcação"/>
    <w:basedOn w:val="ssPara1"/>
    <w:next w:val="ssPara1"/>
    <w:link w:val="ssqMarcaoChar"/>
    <w:uiPriority w:val="10"/>
    <w:semiHidden/>
    <w:rsid w:val="00DB001A"/>
    <w:pPr>
      <w:pageBreakBefore/>
      <w:numPr>
        <w:ilvl w:val="0"/>
        <w:numId w:val="12"/>
      </w:numPr>
      <w:jc w:val="center"/>
    </w:pPr>
    <w:rPr>
      <w:rFonts w:eastAsia="MingLiU"/>
      <w:b/>
      <w:caps/>
    </w:rPr>
  </w:style>
  <w:style w:type="character" w:styleId="ssqMarcaoChar" w:customStyle="1">
    <w:name w:val="ssqMarcação Char"/>
    <w:basedOn w:val="ssPara1Char"/>
    <w:link w:val="ssqMarcao"/>
    <w:uiPriority w:val="10"/>
    <w:semiHidden/>
    <w:rsid w:val="00FC43DC"/>
    <w:rPr>
      <w:rFonts w:eastAsia="MingLiU" w:cstheme="minorBidi"/>
      <w:b/>
      <w:caps/>
      <w:lang w:eastAsia="en-US"/>
    </w:rPr>
  </w:style>
  <w:style w:type="paragraph" w:styleId="ssqMarcar" w:customStyle="1">
    <w:name w:val="ssqMarcar"/>
    <w:basedOn w:val="ssPara1"/>
    <w:next w:val="ssPara1"/>
    <w:link w:val="ssqMarcarChar"/>
    <w:uiPriority w:val="10"/>
    <w:semiHidden/>
    <w:rsid w:val="00DB001A"/>
    <w:pPr>
      <w:pageBreakBefore/>
      <w:numPr>
        <w:ilvl w:val="0"/>
        <w:numId w:val="13"/>
      </w:numPr>
      <w:jc w:val="center"/>
    </w:pPr>
    <w:rPr>
      <w:rFonts w:eastAsia="MingLiU"/>
      <w:b/>
      <w:caps/>
    </w:rPr>
  </w:style>
  <w:style w:type="character" w:styleId="ssqMarcarChar" w:customStyle="1">
    <w:name w:val="ssqMarcar Char"/>
    <w:basedOn w:val="ssPara1Char"/>
    <w:link w:val="ssqMarcar"/>
    <w:uiPriority w:val="10"/>
    <w:semiHidden/>
    <w:rsid w:val="00FC43DC"/>
    <w:rPr>
      <w:rFonts w:eastAsia="MingLiU" w:cstheme="minorBidi"/>
      <w:b/>
      <w:caps/>
      <w:lang w:eastAsia="en-US"/>
    </w:rPr>
  </w:style>
  <w:style w:type="paragraph" w:styleId="ssqMostrar" w:customStyle="1">
    <w:name w:val="ssqMostrar"/>
    <w:basedOn w:val="ssPara1"/>
    <w:next w:val="ssPara1"/>
    <w:link w:val="ssqMostrarChar"/>
    <w:uiPriority w:val="10"/>
    <w:semiHidden/>
    <w:rsid w:val="00DB001A"/>
    <w:pPr>
      <w:pageBreakBefore/>
      <w:numPr>
        <w:ilvl w:val="0"/>
        <w:numId w:val="14"/>
      </w:numPr>
      <w:jc w:val="center"/>
    </w:pPr>
    <w:rPr>
      <w:rFonts w:eastAsia="MingLiU"/>
      <w:b/>
      <w:caps/>
    </w:rPr>
  </w:style>
  <w:style w:type="character" w:styleId="ssqMostrarChar" w:customStyle="1">
    <w:name w:val="ssqMostrar Char"/>
    <w:basedOn w:val="ssPara1Char"/>
    <w:link w:val="ssqMostrar"/>
    <w:uiPriority w:val="10"/>
    <w:semiHidden/>
    <w:rsid w:val="00FC43DC"/>
    <w:rPr>
      <w:rFonts w:eastAsia="MingLiU" w:cstheme="minorBidi"/>
      <w:b/>
      <w:caps/>
      <w:lang w:eastAsia="en-US"/>
    </w:rPr>
  </w:style>
  <w:style w:type="paragraph" w:styleId="ssqParte" w:customStyle="1">
    <w:name w:val="ssqParte"/>
    <w:basedOn w:val="ssPara1"/>
    <w:next w:val="ssPara1"/>
    <w:link w:val="ssqParteChar"/>
    <w:uiPriority w:val="10"/>
    <w:semiHidden/>
    <w:rsid w:val="00DB001A"/>
    <w:pPr>
      <w:numPr>
        <w:ilvl w:val="0"/>
        <w:numId w:val="15"/>
      </w:numPr>
      <w:jc w:val="center"/>
    </w:pPr>
    <w:rPr>
      <w:rFonts w:eastAsia="MingLiU"/>
      <w:b/>
      <w:caps/>
    </w:rPr>
  </w:style>
  <w:style w:type="character" w:styleId="ssqParteChar" w:customStyle="1">
    <w:name w:val="ssqParte Char"/>
    <w:basedOn w:val="ssPara1Char"/>
    <w:link w:val="ssqParte"/>
    <w:uiPriority w:val="10"/>
    <w:semiHidden/>
    <w:rsid w:val="00FC43DC"/>
    <w:rPr>
      <w:rFonts w:eastAsia="MingLiU" w:cstheme="minorBidi"/>
      <w:b/>
      <w:caps/>
      <w:lang w:eastAsia="en-US"/>
    </w:rPr>
  </w:style>
  <w:style w:type="paragraph" w:styleId="ssqPartie" w:customStyle="1">
    <w:name w:val="ssqPartie"/>
    <w:basedOn w:val="ssPara1"/>
    <w:next w:val="ssPara1"/>
    <w:link w:val="ssqPartieChar"/>
    <w:uiPriority w:val="10"/>
    <w:semiHidden/>
    <w:rsid w:val="00DB001A"/>
    <w:pPr>
      <w:numPr>
        <w:ilvl w:val="0"/>
        <w:numId w:val="16"/>
      </w:numPr>
      <w:jc w:val="center"/>
    </w:pPr>
    <w:rPr>
      <w:rFonts w:eastAsia="MingLiU"/>
      <w:b/>
      <w:caps/>
    </w:rPr>
  </w:style>
  <w:style w:type="character" w:styleId="ssqPartieChar" w:customStyle="1">
    <w:name w:val="ssqPartie Char"/>
    <w:basedOn w:val="ssPara1Char"/>
    <w:link w:val="ssqPartie"/>
    <w:uiPriority w:val="10"/>
    <w:semiHidden/>
    <w:rsid w:val="00FC43DC"/>
    <w:rPr>
      <w:rFonts w:eastAsia="MingLiU" w:cstheme="minorBidi"/>
      <w:b/>
      <w:caps/>
      <w:lang w:eastAsia="en-US"/>
    </w:rPr>
  </w:style>
  <w:style w:type="paragraph" w:styleId="ssqPrograma" w:customStyle="1">
    <w:name w:val="ssqPrograma"/>
    <w:basedOn w:val="ssPara1"/>
    <w:next w:val="ssPara1"/>
    <w:link w:val="ssqProgramaChar"/>
    <w:uiPriority w:val="10"/>
    <w:semiHidden/>
    <w:rsid w:val="00DB001A"/>
    <w:pPr>
      <w:pageBreakBefore/>
      <w:numPr>
        <w:ilvl w:val="0"/>
        <w:numId w:val="17"/>
      </w:numPr>
      <w:jc w:val="center"/>
    </w:pPr>
    <w:rPr>
      <w:rFonts w:eastAsia="MingLiU"/>
      <w:b/>
      <w:caps/>
    </w:rPr>
  </w:style>
  <w:style w:type="character" w:styleId="ssqProgramaChar" w:customStyle="1">
    <w:name w:val="ssqPrograma Char"/>
    <w:basedOn w:val="ssPara1Char"/>
    <w:link w:val="ssqPrograma"/>
    <w:uiPriority w:val="10"/>
    <w:semiHidden/>
    <w:rsid w:val="00FC43DC"/>
    <w:rPr>
      <w:rFonts w:eastAsia="MingLiU" w:cstheme="minorBidi"/>
      <w:b/>
      <w:caps/>
      <w:lang w:eastAsia="en-US"/>
    </w:rPr>
  </w:style>
  <w:style w:type="paragraph" w:styleId="ssqScheda" w:customStyle="1">
    <w:name w:val="ssqScheda"/>
    <w:basedOn w:val="ssPara1"/>
    <w:next w:val="ssPara1"/>
    <w:link w:val="ssqSchedaChar"/>
    <w:uiPriority w:val="10"/>
    <w:semiHidden/>
    <w:rsid w:val="00DB001A"/>
    <w:pPr>
      <w:pageBreakBefore/>
      <w:numPr>
        <w:ilvl w:val="0"/>
        <w:numId w:val="54"/>
      </w:numPr>
      <w:jc w:val="center"/>
    </w:pPr>
    <w:rPr>
      <w:rFonts w:eastAsia="MingLiU"/>
      <w:b/>
      <w:caps/>
    </w:rPr>
  </w:style>
  <w:style w:type="character" w:styleId="ssqSchedaChar" w:customStyle="1">
    <w:name w:val="ssqScheda Char"/>
    <w:basedOn w:val="ssPara1Char"/>
    <w:link w:val="ssqScheda"/>
    <w:uiPriority w:val="10"/>
    <w:semiHidden/>
    <w:rsid w:val="00FC43DC"/>
    <w:rPr>
      <w:rFonts w:eastAsia="MingLiU" w:cstheme="minorBidi"/>
      <w:b/>
      <w:caps/>
      <w:lang w:eastAsia="en-US"/>
    </w:rPr>
  </w:style>
  <w:style w:type="paragraph" w:styleId="ssqSeccin" w:customStyle="1">
    <w:name w:val="ssqSección"/>
    <w:basedOn w:val="ssPara1"/>
    <w:next w:val="ssPara1"/>
    <w:link w:val="ssqSeccinChar"/>
    <w:uiPriority w:val="10"/>
    <w:semiHidden/>
    <w:rsid w:val="00DB001A"/>
    <w:pPr>
      <w:pageBreakBefore/>
      <w:numPr>
        <w:ilvl w:val="0"/>
        <w:numId w:val="18"/>
      </w:numPr>
      <w:jc w:val="center"/>
    </w:pPr>
    <w:rPr>
      <w:rFonts w:eastAsia="MingLiU"/>
      <w:b/>
      <w:caps/>
    </w:rPr>
  </w:style>
  <w:style w:type="character" w:styleId="ssqSeccinChar" w:customStyle="1">
    <w:name w:val="ssqSección Char"/>
    <w:basedOn w:val="ssPara1Char"/>
    <w:link w:val="ssqSeccin"/>
    <w:uiPriority w:val="10"/>
    <w:semiHidden/>
    <w:rsid w:val="00FC43DC"/>
    <w:rPr>
      <w:rFonts w:eastAsia="MingLiU" w:cstheme="minorBidi"/>
      <w:b/>
      <w:caps/>
      <w:lang w:eastAsia="en-US"/>
    </w:rPr>
  </w:style>
  <w:style w:type="paragraph" w:styleId="ssqTeil" w:customStyle="1">
    <w:name w:val="ssqTeil"/>
    <w:basedOn w:val="ssPara1"/>
    <w:next w:val="ssPara1"/>
    <w:link w:val="ssqTeilChar"/>
    <w:uiPriority w:val="10"/>
    <w:semiHidden/>
    <w:rsid w:val="00DB001A"/>
    <w:pPr>
      <w:numPr>
        <w:ilvl w:val="0"/>
        <w:numId w:val="19"/>
      </w:numPr>
      <w:jc w:val="center"/>
    </w:pPr>
    <w:rPr>
      <w:rFonts w:eastAsia="MingLiU"/>
      <w:b/>
      <w:caps/>
    </w:rPr>
  </w:style>
  <w:style w:type="character" w:styleId="ssqTeilChar" w:customStyle="1">
    <w:name w:val="ssqTeil Char"/>
    <w:basedOn w:val="ssPara1Char"/>
    <w:link w:val="ssqTeil"/>
    <w:uiPriority w:val="10"/>
    <w:semiHidden/>
    <w:rsid w:val="00FC43DC"/>
    <w:rPr>
      <w:rFonts w:eastAsia="MingLiU" w:cstheme="minorBidi"/>
      <w:b/>
      <w:caps/>
      <w:lang w:eastAsia="en-US"/>
    </w:rPr>
  </w:style>
  <w:style w:type="paragraph" w:styleId="ssqBewijsstuk" w:customStyle="1">
    <w:name w:val="ssqBewijsstuk"/>
    <w:basedOn w:val="Normal"/>
    <w:next w:val="ssPara1"/>
    <w:link w:val="ssqBewijsstukChar"/>
    <w:uiPriority w:val="10"/>
    <w:semiHidden/>
    <w:rsid w:val="00DB001A"/>
    <w:pPr>
      <w:pageBreakBefore/>
      <w:numPr>
        <w:numId w:val="20"/>
      </w:numPr>
      <w:spacing w:after="260"/>
      <w:jc w:val="center"/>
    </w:pPr>
    <w:rPr>
      <w:rFonts w:eastAsia="SimSun" w:cs="Times New Roman" w:asciiTheme="minorHAnsi" w:hAnsiTheme="minorHAnsi"/>
      <w:b/>
      <w:caps/>
      <w:lang w:eastAsia="en-GB"/>
    </w:rPr>
  </w:style>
  <w:style w:type="character" w:styleId="ssqBewijsstukChar" w:customStyle="1">
    <w:name w:val="ssqBewijsstuk Char"/>
    <w:basedOn w:val="DefaultParagraphFont"/>
    <w:link w:val="ssqBewijsstuk"/>
    <w:uiPriority w:val="10"/>
    <w:semiHidden/>
    <w:rsid w:val="00FC43DC"/>
    <w:rPr>
      <w:rFonts w:eastAsia="SimSun" w:asciiTheme="minorHAnsi" w:hAnsiTheme="minorHAnsi"/>
      <w:b/>
      <w:caps/>
    </w:rPr>
  </w:style>
  <w:style w:type="paragraph" w:styleId="ssqBijlage" w:customStyle="1">
    <w:name w:val="ssqBijlage"/>
    <w:basedOn w:val="Normal"/>
    <w:next w:val="ssPara1"/>
    <w:link w:val="ssqBijlageChar"/>
    <w:uiPriority w:val="10"/>
    <w:semiHidden/>
    <w:rsid w:val="00DB001A"/>
    <w:pPr>
      <w:pageBreakBefore/>
      <w:numPr>
        <w:numId w:val="21"/>
      </w:numPr>
      <w:spacing w:after="260"/>
      <w:jc w:val="center"/>
    </w:pPr>
    <w:rPr>
      <w:rFonts w:eastAsia="SimSun" w:cs="Times New Roman" w:asciiTheme="minorHAnsi" w:hAnsiTheme="minorHAnsi"/>
      <w:b/>
      <w:caps/>
      <w:lang w:eastAsia="en-GB"/>
    </w:rPr>
  </w:style>
  <w:style w:type="character" w:styleId="ssqBijlageChar" w:customStyle="1">
    <w:name w:val="ssqBijlage Char"/>
    <w:basedOn w:val="DefaultParagraphFont"/>
    <w:link w:val="ssqBijlage"/>
    <w:uiPriority w:val="10"/>
    <w:semiHidden/>
    <w:rsid w:val="00FC43DC"/>
    <w:rPr>
      <w:rFonts w:eastAsia="SimSun" w:asciiTheme="minorHAnsi" w:hAnsiTheme="minorHAnsi"/>
      <w:b/>
      <w:caps/>
    </w:rPr>
  </w:style>
  <w:style w:type="paragraph" w:styleId="ssqDeel" w:customStyle="1">
    <w:name w:val="ssqDeel"/>
    <w:basedOn w:val="Normal"/>
    <w:next w:val="ssPara1"/>
    <w:link w:val="ssqDeelChar"/>
    <w:uiPriority w:val="10"/>
    <w:semiHidden/>
    <w:rsid w:val="00DB001A"/>
    <w:pPr>
      <w:pageBreakBefore/>
      <w:numPr>
        <w:numId w:val="22"/>
      </w:numPr>
      <w:spacing w:after="260"/>
      <w:jc w:val="center"/>
    </w:pPr>
    <w:rPr>
      <w:rFonts w:eastAsia="SimSun" w:cs="Times New Roman" w:asciiTheme="minorHAnsi" w:hAnsiTheme="minorHAnsi"/>
      <w:b/>
      <w:caps/>
      <w:lang w:eastAsia="en-GB"/>
    </w:rPr>
  </w:style>
  <w:style w:type="character" w:styleId="ssqDeelChar" w:customStyle="1">
    <w:name w:val="ssqDeel Char"/>
    <w:basedOn w:val="DefaultParagraphFont"/>
    <w:link w:val="ssqDeel"/>
    <w:uiPriority w:val="10"/>
    <w:semiHidden/>
    <w:rsid w:val="00FC43DC"/>
    <w:rPr>
      <w:rFonts w:eastAsia="SimSun" w:asciiTheme="minorHAnsi" w:hAnsiTheme="minorHAnsi"/>
      <w:b/>
      <w:caps/>
    </w:rPr>
  </w:style>
  <w:style w:type="paragraph" w:styleId="ssqProductie" w:customStyle="1">
    <w:name w:val="ssqProductie"/>
    <w:basedOn w:val="Normal"/>
    <w:next w:val="ssPara1"/>
    <w:link w:val="ssqProductieChar"/>
    <w:uiPriority w:val="10"/>
    <w:semiHidden/>
    <w:rsid w:val="00DB001A"/>
    <w:pPr>
      <w:pageBreakBefore/>
      <w:numPr>
        <w:numId w:val="23"/>
      </w:numPr>
      <w:spacing w:after="260"/>
      <w:jc w:val="center"/>
    </w:pPr>
    <w:rPr>
      <w:rFonts w:eastAsia="SimSun" w:cs="Times New Roman" w:asciiTheme="minorHAnsi" w:hAnsiTheme="minorHAnsi"/>
      <w:b/>
      <w:caps/>
      <w:lang w:eastAsia="en-GB"/>
    </w:rPr>
  </w:style>
  <w:style w:type="character" w:styleId="ssqProductieChar" w:customStyle="1">
    <w:name w:val="ssqProductie Char"/>
    <w:basedOn w:val="DefaultParagraphFont"/>
    <w:link w:val="ssqProductie"/>
    <w:uiPriority w:val="10"/>
    <w:semiHidden/>
    <w:rsid w:val="00FC43DC"/>
    <w:rPr>
      <w:rFonts w:eastAsia="SimSun" w:asciiTheme="minorHAnsi" w:hAnsiTheme="minorHAnsi"/>
      <w:b/>
      <w:caps/>
    </w:rPr>
  </w:style>
  <w:style w:type="paragraph" w:styleId="ssqSchema" w:customStyle="1">
    <w:name w:val="ssqSchema"/>
    <w:basedOn w:val="Normal"/>
    <w:next w:val="ssPara1"/>
    <w:link w:val="ssqSchemaChar"/>
    <w:uiPriority w:val="10"/>
    <w:semiHidden/>
    <w:rsid w:val="00DB001A"/>
    <w:pPr>
      <w:pageBreakBefore/>
      <w:numPr>
        <w:numId w:val="24"/>
      </w:numPr>
      <w:spacing w:after="260"/>
      <w:jc w:val="center"/>
    </w:pPr>
    <w:rPr>
      <w:rFonts w:eastAsia="SimSun" w:cs="Times New Roman" w:asciiTheme="minorHAnsi" w:hAnsiTheme="minorHAnsi"/>
      <w:b/>
      <w:caps/>
      <w:lang w:eastAsia="en-GB"/>
    </w:rPr>
  </w:style>
  <w:style w:type="character" w:styleId="ssqSchemaChar" w:customStyle="1">
    <w:name w:val="ssqSchema Char"/>
    <w:basedOn w:val="DefaultParagraphFont"/>
    <w:link w:val="ssqSchema"/>
    <w:uiPriority w:val="10"/>
    <w:semiHidden/>
    <w:rsid w:val="00FC43DC"/>
    <w:rPr>
      <w:rFonts w:eastAsia="SimSun" w:asciiTheme="minorHAnsi" w:hAnsiTheme="minorHAnsi"/>
      <w:b/>
      <w:caps/>
    </w:rPr>
  </w:style>
  <w:style w:type="paragraph" w:styleId="ssq2" w:customStyle="1">
    <w:name w:val="ssqالجدول"/>
    <w:basedOn w:val="ssPara1"/>
    <w:next w:val="ssPara1"/>
    <w:link w:val="ssqChar"/>
    <w:uiPriority w:val="10"/>
    <w:semiHidden/>
    <w:rsid w:val="00DB001A"/>
    <w:pPr>
      <w:pageBreakBefore/>
      <w:numPr>
        <w:ilvl w:val="0"/>
        <w:numId w:val="25"/>
      </w:numPr>
      <w:jc w:val="center"/>
    </w:pPr>
    <w:rPr>
      <w:rFonts w:eastAsia="SimSun"/>
      <w:b/>
      <w:caps/>
    </w:rPr>
  </w:style>
  <w:style w:type="character" w:styleId="ssqChar" w:customStyle="1">
    <w:name w:val="ssqالجدول Char"/>
    <w:basedOn w:val="ssPara1Char"/>
    <w:link w:val="ssq2"/>
    <w:uiPriority w:val="10"/>
    <w:semiHidden/>
    <w:rsid w:val="00FC43DC"/>
    <w:rPr>
      <w:rFonts w:eastAsia="SimSun" w:cstheme="minorBidi"/>
      <w:b/>
      <w:caps/>
      <w:lang w:eastAsia="en-US"/>
    </w:rPr>
  </w:style>
  <w:style w:type="paragraph" w:styleId="ssq0" w:customStyle="1">
    <w:name w:val="ssqالمرفق"/>
    <w:basedOn w:val="ssPara1"/>
    <w:next w:val="ssPara1"/>
    <w:link w:val="ssqChar0"/>
    <w:uiPriority w:val="10"/>
    <w:semiHidden/>
    <w:rsid w:val="00DB001A"/>
    <w:pPr>
      <w:pageBreakBefore/>
      <w:numPr>
        <w:ilvl w:val="0"/>
        <w:numId w:val="26"/>
      </w:numPr>
      <w:jc w:val="center"/>
    </w:pPr>
    <w:rPr>
      <w:rFonts w:eastAsia="SimSun"/>
      <w:b/>
      <w:caps/>
    </w:rPr>
  </w:style>
  <w:style w:type="character" w:styleId="ssqChar0" w:customStyle="1">
    <w:name w:val="ssqالمرفق Char"/>
    <w:basedOn w:val="ssPara1Char"/>
    <w:link w:val="ssq0"/>
    <w:uiPriority w:val="10"/>
    <w:semiHidden/>
    <w:rsid w:val="00FC43DC"/>
    <w:rPr>
      <w:rFonts w:eastAsia="SimSun" w:cstheme="minorBidi"/>
      <w:b/>
      <w:caps/>
      <w:lang w:eastAsia="en-US"/>
    </w:rPr>
  </w:style>
  <w:style w:type="paragraph" w:styleId="ssq1" w:customStyle="1">
    <w:name w:val="ssqالملحق"/>
    <w:basedOn w:val="ssPara1"/>
    <w:next w:val="ssPara1"/>
    <w:link w:val="ssqChar1"/>
    <w:uiPriority w:val="10"/>
    <w:semiHidden/>
    <w:rsid w:val="00DB001A"/>
    <w:pPr>
      <w:pageBreakBefore/>
      <w:numPr>
        <w:ilvl w:val="0"/>
        <w:numId w:val="27"/>
      </w:numPr>
      <w:jc w:val="center"/>
    </w:pPr>
    <w:rPr>
      <w:rFonts w:eastAsia="SimSun"/>
      <w:b/>
      <w:caps/>
    </w:rPr>
  </w:style>
  <w:style w:type="character" w:styleId="ssqChar1" w:customStyle="1">
    <w:name w:val="ssqالملحق Char"/>
    <w:basedOn w:val="ssPara1Char"/>
    <w:link w:val="ssq1"/>
    <w:uiPriority w:val="10"/>
    <w:semiHidden/>
    <w:rsid w:val="00FC43DC"/>
    <w:rPr>
      <w:rFonts w:eastAsia="SimSun" w:cstheme="minorBidi"/>
      <w:b/>
      <w:caps/>
      <w:lang w:eastAsia="en-US"/>
    </w:rPr>
  </w:style>
  <w:style w:type="paragraph" w:styleId="ssq5" w:customStyle="1">
    <w:name w:val="ssqجدول"/>
    <w:basedOn w:val="ssPara1"/>
    <w:next w:val="ssPara1"/>
    <w:link w:val="ssqChar2"/>
    <w:uiPriority w:val="10"/>
    <w:semiHidden/>
    <w:rsid w:val="00DB001A"/>
    <w:pPr>
      <w:pageBreakBefore/>
      <w:numPr>
        <w:ilvl w:val="0"/>
        <w:numId w:val="28"/>
      </w:numPr>
      <w:jc w:val="center"/>
    </w:pPr>
    <w:rPr>
      <w:rFonts w:eastAsia="SimSun"/>
      <w:b/>
      <w:caps/>
    </w:rPr>
  </w:style>
  <w:style w:type="character" w:styleId="ssqChar2" w:customStyle="1">
    <w:name w:val="ssqجدول Char"/>
    <w:basedOn w:val="ssPara1Char"/>
    <w:link w:val="ssq5"/>
    <w:uiPriority w:val="10"/>
    <w:semiHidden/>
    <w:rsid w:val="00FC43DC"/>
    <w:rPr>
      <w:rFonts w:eastAsia="SimSun" w:cstheme="minorBidi"/>
      <w:b/>
      <w:caps/>
      <w:lang w:eastAsia="en-US"/>
    </w:rPr>
  </w:style>
  <w:style w:type="paragraph" w:styleId="ssq4" w:customStyle="1">
    <w:name w:val="ssqقسم"/>
    <w:basedOn w:val="Normal"/>
    <w:next w:val="ssPara1"/>
    <w:link w:val="ssqChar3"/>
    <w:uiPriority w:val="10"/>
    <w:semiHidden/>
    <w:rsid w:val="00DB001A"/>
    <w:pPr>
      <w:pageBreakBefore/>
      <w:numPr>
        <w:numId w:val="29"/>
      </w:numPr>
      <w:spacing w:after="260"/>
      <w:jc w:val="center"/>
    </w:pPr>
    <w:rPr>
      <w:rFonts w:eastAsia="SimSun" w:cs="Times New Roman" w:asciiTheme="minorHAnsi" w:hAnsiTheme="minorHAnsi"/>
      <w:b/>
      <w:caps/>
      <w:lang w:eastAsia="en-GB"/>
    </w:rPr>
  </w:style>
  <w:style w:type="character" w:styleId="ssqChar3" w:customStyle="1">
    <w:name w:val="ssqقسم Char"/>
    <w:basedOn w:val="DefaultParagraphFont"/>
    <w:link w:val="ssq4"/>
    <w:uiPriority w:val="10"/>
    <w:semiHidden/>
    <w:rsid w:val="00FC43DC"/>
    <w:rPr>
      <w:rFonts w:eastAsia="SimSun" w:asciiTheme="minorHAnsi" w:hAnsiTheme="minorHAnsi"/>
      <w:b/>
      <w:caps/>
    </w:rPr>
  </w:style>
  <w:style w:type="paragraph" w:styleId="ssq" w:customStyle="1">
    <w:name w:val="ssqمبرز"/>
    <w:basedOn w:val="Normal"/>
    <w:next w:val="ssPara1"/>
    <w:link w:val="ssqChar4"/>
    <w:uiPriority w:val="10"/>
    <w:semiHidden/>
    <w:rsid w:val="00DB001A"/>
    <w:pPr>
      <w:pageBreakBefore/>
      <w:numPr>
        <w:numId w:val="30"/>
      </w:numPr>
      <w:spacing w:after="260"/>
      <w:jc w:val="center"/>
    </w:pPr>
    <w:rPr>
      <w:rFonts w:eastAsia="SimSun" w:cs="Times New Roman" w:asciiTheme="minorHAnsi" w:hAnsiTheme="minorHAnsi"/>
      <w:b/>
      <w:caps/>
      <w:lang w:eastAsia="en-GB"/>
    </w:rPr>
  </w:style>
  <w:style w:type="character" w:styleId="ssqChar4" w:customStyle="1">
    <w:name w:val="ssqمبرز Char"/>
    <w:basedOn w:val="DefaultParagraphFont"/>
    <w:link w:val="ssq"/>
    <w:uiPriority w:val="10"/>
    <w:semiHidden/>
    <w:rsid w:val="00FC43DC"/>
    <w:rPr>
      <w:rFonts w:eastAsia="SimSun" w:asciiTheme="minorHAnsi" w:hAnsiTheme="minorHAnsi"/>
      <w:b/>
      <w:caps/>
    </w:rPr>
  </w:style>
  <w:style w:type="paragraph" w:styleId="ssq3" w:customStyle="1">
    <w:name w:val="ssqملحق"/>
    <w:basedOn w:val="Normal"/>
    <w:next w:val="ssPara1"/>
    <w:link w:val="ssqChar5"/>
    <w:uiPriority w:val="10"/>
    <w:semiHidden/>
    <w:rsid w:val="00DB001A"/>
    <w:pPr>
      <w:pageBreakBefore/>
      <w:numPr>
        <w:numId w:val="31"/>
      </w:numPr>
      <w:spacing w:after="260"/>
      <w:jc w:val="center"/>
    </w:pPr>
    <w:rPr>
      <w:rFonts w:eastAsia="SimSun" w:cs="Times New Roman" w:asciiTheme="minorHAnsi" w:hAnsiTheme="minorHAnsi"/>
      <w:b/>
      <w:caps/>
      <w:lang w:eastAsia="en-GB"/>
    </w:rPr>
  </w:style>
  <w:style w:type="character" w:styleId="ssqChar5" w:customStyle="1">
    <w:name w:val="ssqملحق Char"/>
    <w:basedOn w:val="DefaultParagraphFont"/>
    <w:link w:val="ssq3"/>
    <w:uiPriority w:val="10"/>
    <w:semiHidden/>
    <w:rsid w:val="00FC43DC"/>
    <w:rPr>
      <w:rFonts w:eastAsia="SimSun" w:asciiTheme="minorHAnsi" w:hAnsiTheme="minorHAnsi"/>
      <w:b/>
      <w:caps/>
    </w:rPr>
  </w:style>
  <w:style w:type="paragraph" w:styleId="SSOfficeEntity" w:customStyle="1">
    <w:name w:val="SSOfficeEntity"/>
    <w:basedOn w:val="SSOfficeDetails"/>
    <w:uiPriority w:val="19"/>
    <w:rsid w:val="00DB001A"/>
    <w:rPr>
      <w:rFonts w:asciiTheme="majorHAnsi" w:hAnsiTheme="majorHAnsi"/>
      <w:b/>
      <w:bCs/>
    </w:rPr>
  </w:style>
  <w:style w:type="paragraph" w:styleId="SSFooter" w:customStyle="1">
    <w:name w:val="SSFooter"/>
    <w:basedOn w:val="Footer"/>
    <w:uiPriority w:val="49"/>
    <w:semiHidden/>
    <w:rsid w:val="00DB001A"/>
    <w:pPr>
      <w:spacing w:line="160" w:lineRule="atLeast"/>
    </w:pPr>
    <w:rPr>
      <w:rFonts w:eastAsia="Arial" w:asciiTheme="minorHAnsi" w:hAnsiTheme="minorHAnsi"/>
      <w:szCs w:val="16"/>
      <w:lang w:eastAsia="en-GB"/>
    </w:rPr>
  </w:style>
  <w:style w:type="paragraph" w:styleId="SSFooterHeading" w:customStyle="1">
    <w:name w:val="SSFooterHeading"/>
    <w:basedOn w:val="SSFooter"/>
    <w:uiPriority w:val="49"/>
    <w:semiHidden/>
    <w:rsid w:val="00DB001A"/>
    <w:pPr>
      <w:spacing w:after="120"/>
    </w:pPr>
    <w:rPr>
      <w:rFonts w:asciiTheme="majorHAnsi" w:hAnsiTheme="majorHAnsi"/>
      <w:sz w:val="16"/>
    </w:rPr>
  </w:style>
  <w:style w:type="paragraph" w:styleId="SSOfficeDetails" w:customStyle="1">
    <w:name w:val="SSOfficeDetails"/>
    <w:basedOn w:val="ssContactDetails"/>
    <w:uiPriority w:val="19"/>
    <w:rsid w:val="00DB001A"/>
    <w:pPr>
      <w:adjustRightInd w:val="0"/>
      <w:snapToGrid w:val="0"/>
      <w:spacing w:line="220" w:lineRule="exact"/>
      <w:jc w:val="left"/>
    </w:pPr>
    <w:rPr>
      <w:rFonts w:eastAsia="Real Text Light" w:cs="Arial" w:asciiTheme="minorHAnsi" w:hAnsiTheme="minorHAnsi"/>
    </w:rPr>
  </w:style>
  <w:style w:type="numbering" w:styleId="AppendixNumbering" w:customStyle="1">
    <w:name w:val="Appendix Numbering"/>
    <w:uiPriority w:val="99"/>
    <w:rsid w:val="00DB001A"/>
    <w:pPr>
      <w:numPr>
        <w:numId w:val="42"/>
      </w:numPr>
    </w:pPr>
  </w:style>
  <w:style w:type="numbering" w:styleId="ExhibitNumbering" w:customStyle="1">
    <w:name w:val="Exhibit Numbering"/>
    <w:uiPriority w:val="99"/>
    <w:rsid w:val="00DB001A"/>
    <w:pPr>
      <w:numPr>
        <w:numId w:val="43"/>
      </w:numPr>
    </w:pPr>
  </w:style>
  <w:style w:type="numbering" w:styleId="ScheduleNumbering" w:customStyle="1">
    <w:name w:val="Schedule Numbering"/>
    <w:uiPriority w:val="99"/>
    <w:rsid w:val="00DB001A"/>
    <w:pPr>
      <w:numPr>
        <w:numId w:val="44"/>
      </w:numPr>
    </w:pPr>
  </w:style>
  <w:style w:type="numbering" w:styleId="SectionNumbering" w:customStyle="1">
    <w:name w:val="Section Numbering"/>
    <w:uiPriority w:val="99"/>
    <w:rsid w:val="00DB001A"/>
    <w:pPr>
      <w:numPr>
        <w:numId w:val="45"/>
      </w:numPr>
    </w:pPr>
  </w:style>
  <w:style w:type="paragraph" w:styleId="ssRestartAppendix" w:customStyle="1">
    <w:name w:val="ssRestartAppendix"/>
    <w:basedOn w:val="Normal"/>
    <w:next w:val="ssPara1"/>
    <w:uiPriority w:val="6"/>
    <w:rsid w:val="00DB001A"/>
    <w:pPr>
      <w:numPr>
        <w:numId w:val="57"/>
      </w:numPr>
    </w:pPr>
    <w:rPr>
      <w:rFonts w:asciiTheme="minorHAnsi" w:hAnsiTheme="minorHAnsi"/>
      <w:color w:val="FF0000"/>
    </w:rPr>
  </w:style>
  <w:style w:type="paragraph" w:styleId="ssRestartExhibit" w:customStyle="1">
    <w:name w:val="ssRestartExhibit"/>
    <w:basedOn w:val="Normal"/>
    <w:next w:val="ssPara1"/>
    <w:uiPriority w:val="7"/>
    <w:rsid w:val="00DB001A"/>
    <w:pPr>
      <w:numPr>
        <w:numId w:val="58"/>
      </w:numPr>
    </w:pPr>
    <w:rPr>
      <w:rFonts w:asciiTheme="minorHAnsi" w:hAnsiTheme="minorHAnsi"/>
      <w:color w:val="FF0000"/>
    </w:rPr>
  </w:style>
  <w:style w:type="paragraph" w:styleId="ssRestartNumber" w:customStyle="1">
    <w:name w:val="ssRestartNumber"/>
    <w:basedOn w:val="Normal"/>
    <w:next w:val="ssPara1"/>
    <w:uiPriority w:val="4"/>
    <w:rsid w:val="00DB001A"/>
    <w:pPr>
      <w:numPr>
        <w:numId w:val="46"/>
      </w:numPr>
    </w:pPr>
    <w:rPr>
      <w:rFonts w:eastAsia="MingLiU" w:cs="Times New Roman" w:asciiTheme="minorHAnsi" w:hAnsiTheme="minorHAnsi"/>
      <w:color w:val="FF0000"/>
      <w:lang w:eastAsia="en-GB"/>
    </w:rPr>
  </w:style>
  <w:style w:type="paragraph" w:styleId="ssRestartPart" w:customStyle="1">
    <w:name w:val="ssRestartPart"/>
    <w:basedOn w:val="Normal"/>
    <w:next w:val="ssPara1"/>
    <w:uiPriority w:val="9"/>
    <w:rsid w:val="00DB001A"/>
    <w:pPr>
      <w:numPr>
        <w:numId w:val="60"/>
      </w:numPr>
    </w:pPr>
    <w:rPr>
      <w:rFonts w:asciiTheme="minorHAnsi" w:hAnsiTheme="minorHAnsi"/>
      <w:color w:val="FF0000"/>
    </w:rPr>
  </w:style>
  <w:style w:type="paragraph" w:styleId="ssRestartSchedule" w:customStyle="1">
    <w:name w:val="ssRestartSchedule"/>
    <w:basedOn w:val="Normal"/>
    <w:next w:val="ssPara1"/>
    <w:uiPriority w:val="5"/>
    <w:rsid w:val="00DB001A"/>
    <w:pPr>
      <w:numPr>
        <w:numId w:val="56"/>
      </w:numPr>
    </w:pPr>
    <w:rPr>
      <w:rFonts w:asciiTheme="minorHAnsi" w:hAnsiTheme="minorHAnsi"/>
      <w:color w:val="FF0000"/>
    </w:rPr>
  </w:style>
  <w:style w:type="paragraph" w:styleId="ssRestartSection" w:customStyle="1">
    <w:name w:val="ssRestartSection"/>
    <w:basedOn w:val="Normal"/>
    <w:next w:val="ssPara1"/>
    <w:uiPriority w:val="46"/>
    <w:rsid w:val="00DB001A"/>
    <w:pPr>
      <w:numPr>
        <w:numId w:val="59"/>
      </w:numPr>
    </w:pPr>
    <w:rPr>
      <w:rFonts w:asciiTheme="minorHAnsi" w:hAnsiTheme="minorHAnsi"/>
      <w:color w:val="FF0000"/>
    </w:rPr>
  </w:style>
  <w:style w:type="character" w:styleId="Heading8Char" w:customStyle="1">
    <w:name w:val="Heading 8 Char"/>
    <w:basedOn w:val="DefaultParagraphFont"/>
    <w:link w:val="Heading8"/>
    <w:uiPriority w:val="9"/>
    <w:semiHidden/>
    <w:rsid w:val="00DB001A"/>
    <w:rPr>
      <w:rFonts w:eastAsia="MingLiU" w:asciiTheme="minorHAnsi" w:hAnsiTheme="minorHAnsi"/>
      <w:iCs/>
      <w:szCs w:val="24"/>
    </w:rPr>
  </w:style>
  <w:style w:type="character" w:styleId="Heading9Char" w:customStyle="1">
    <w:name w:val="Heading 9 Char"/>
    <w:basedOn w:val="DefaultParagraphFont"/>
    <w:link w:val="Heading9"/>
    <w:uiPriority w:val="9"/>
    <w:rsid w:val="00DB001A"/>
    <w:rPr>
      <w:rFonts w:eastAsia="MingLiU" w:cs="Arial" w:asciiTheme="minorHAnsi" w:hAnsiTheme="minorHAnsi"/>
    </w:rPr>
  </w:style>
  <w:style w:type="paragraph" w:styleId="TOC5">
    <w:name w:val="toc 5"/>
    <w:basedOn w:val="TOC1"/>
    <w:next w:val="Normal"/>
    <w:autoRedefine/>
    <w:uiPriority w:val="39"/>
    <w:rsid w:val="00E9006F"/>
    <w:pPr>
      <w:spacing w:after="100"/>
      <w:ind w:left="993" w:hanging="993"/>
    </w:pPr>
    <w:rPr>
      <w:caps/>
    </w:rPr>
  </w:style>
  <w:style w:type="paragraph" w:styleId="ssqToCAdd" w:customStyle="1">
    <w:name w:val="ssqToCAdd"/>
    <w:basedOn w:val="ssPara"/>
    <w:uiPriority w:val="11"/>
    <w:rsid w:val="00DB001A"/>
    <w:rPr>
      <w:lang w:val="en-US"/>
    </w:rPr>
  </w:style>
  <w:style w:type="paragraph" w:styleId="SSOfficeDetailsME" w:customStyle="1">
    <w:name w:val="SSOfficeDetailsME"/>
    <w:basedOn w:val="SSOfficeDetails"/>
    <w:uiPriority w:val="49"/>
    <w:semiHidden/>
    <w:rsid w:val="00DB001A"/>
    <w:pPr>
      <w:spacing w:line="190" w:lineRule="exact"/>
      <w:jc w:val="right"/>
    </w:pPr>
    <w:rPr>
      <w:rFonts w:ascii="Cairo" w:hAnsi="Cairo"/>
      <w:noProof/>
    </w:rPr>
  </w:style>
  <w:style w:type="table" w:styleId="ssTable" w:customStyle="1">
    <w:name w:val="ssTable"/>
    <w:basedOn w:val="TableNormal"/>
    <w:rsid w:val="00DB001A"/>
    <w:rPr>
      <w:rFonts w:eastAsia="SimSun" w:asciiTheme="minorHAnsi" w:hAnsiTheme="minorHAnsi" w:cstheme="minorBidi"/>
      <w:szCs w:val="20"/>
    </w:rPr>
    <w:tblPr/>
    <w:tcPr>
      <w:tcMar>
        <w:left w:w="0" w:type="dxa"/>
        <w:right w:w="0" w:type="dxa"/>
      </w:tcMar>
    </w:tcPr>
  </w:style>
  <w:style w:type="paragraph" w:styleId="ssRestartAnnex" w:customStyle="1">
    <w:name w:val="ssRestartAnnex"/>
    <w:basedOn w:val="ssUserEntry"/>
    <w:next w:val="ssPara1"/>
    <w:link w:val="ssRestartAnnexChar"/>
    <w:uiPriority w:val="10"/>
    <w:semiHidden/>
    <w:rsid w:val="00414E53"/>
    <w:pPr>
      <w:numPr>
        <w:numId w:val="50"/>
      </w:numPr>
    </w:pPr>
    <w:rPr>
      <w:b/>
      <w:color w:val="FF0000"/>
      <w:lang w:val="fr-FR"/>
    </w:rPr>
  </w:style>
  <w:style w:type="character" w:styleId="ssRestartAnnexChar" w:customStyle="1">
    <w:name w:val="ssRestartAnnex Char"/>
    <w:basedOn w:val="DefaultParagraphFont"/>
    <w:link w:val="ssRestartAnnex"/>
    <w:uiPriority w:val="10"/>
    <w:semiHidden/>
    <w:rsid w:val="00FC43DC"/>
    <w:rPr>
      <w:rFonts w:eastAsia="MingLiU"/>
      <w:b/>
      <w:color w:val="FF0000"/>
      <w:lang w:val="fr-FR" w:eastAsia="ja-JP"/>
    </w:rPr>
  </w:style>
  <w:style w:type="paragraph" w:styleId="ssRestartExposicin" w:customStyle="1">
    <w:name w:val="ssRestartExposición"/>
    <w:basedOn w:val="ssqScheda"/>
    <w:next w:val="ssPara1"/>
    <w:link w:val="ssRestartExposicinChar"/>
    <w:uiPriority w:val="10"/>
    <w:semiHidden/>
    <w:rsid w:val="00414E53"/>
    <w:pPr>
      <w:numPr>
        <w:numId w:val="51"/>
      </w:numPr>
    </w:pPr>
    <w:rPr>
      <w:color w:val="FF0000"/>
    </w:rPr>
  </w:style>
  <w:style w:type="character" w:styleId="ssRestartExposicinChar" w:customStyle="1">
    <w:name w:val="ssRestartExposición Char"/>
    <w:basedOn w:val="ssqSchedaChar"/>
    <w:link w:val="ssRestartExposicin"/>
    <w:uiPriority w:val="10"/>
    <w:semiHidden/>
    <w:rsid w:val="00FC43DC"/>
    <w:rPr>
      <w:rFonts w:eastAsia="MingLiU" w:cstheme="minorBidi"/>
      <w:b/>
      <w:caps/>
      <w:color w:val="FF0000"/>
      <w:lang w:eastAsia="en-US"/>
    </w:rPr>
  </w:style>
  <w:style w:type="paragraph" w:styleId="ssRestartScheda" w:customStyle="1">
    <w:name w:val="ssRestartScheda"/>
    <w:basedOn w:val="ssqAnnex"/>
    <w:next w:val="ssPara1"/>
    <w:link w:val="ssRestartSchedaChar"/>
    <w:uiPriority w:val="10"/>
    <w:semiHidden/>
    <w:rsid w:val="00414E53"/>
    <w:pPr>
      <w:numPr>
        <w:numId w:val="52"/>
      </w:numPr>
    </w:pPr>
    <w:rPr>
      <w:color w:val="FF0000"/>
    </w:rPr>
  </w:style>
  <w:style w:type="character" w:styleId="ssRestartSchedaChar" w:customStyle="1">
    <w:name w:val="ssRestartScheda Char"/>
    <w:basedOn w:val="ssqAnnexChar"/>
    <w:link w:val="ssRestartScheda"/>
    <w:uiPriority w:val="10"/>
    <w:semiHidden/>
    <w:rsid w:val="00FC43DC"/>
    <w:rPr>
      <w:rFonts w:eastAsia="MingLiU" w:cstheme="minorBidi"/>
      <w:b/>
      <w:caps/>
      <w:color w:val="FF0000"/>
      <w:lang w:eastAsia="en-US"/>
    </w:rPr>
  </w:style>
  <w:style w:type="paragraph" w:styleId="ssAuthor" w:customStyle="1">
    <w:name w:val="ssAuthor"/>
    <w:basedOn w:val="Normal"/>
    <w:next w:val="ssPara"/>
    <w:uiPriority w:val="49"/>
    <w:semiHidden/>
    <w:rsid w:val="00DB001A"/>
    <w:pPr>
      <w:spacing w:line="260" w:lineRule="atLeast"/>
    </w:pPr>
    <w:rPr>
      <w:rFonts w:eastAsia="MingLiU" w:cs="Times New Roman"/>
      <w:b/>
      <w:lang w:eastAsia="zh-CN"/>
    </w:rPr>
  </w:style>
  <w:style w:type="paragraph" w:styleId="ssDate" w:customStyle="1">
    <w:name w:val="ssDate"/>
    <w:basedOn w:val="Normal"/>
    <w:uiPriority w:val="49"/>
    <w:semiHidden/>
    <w:rsid w:val="00DB001A"/>
    <w:pPr>
      <w:spacing w:line="260" w:lineRule="exact"/>
      <w:jc w:val="right"/>
    </w:pPr>
    <w:rPr>
      <w:rFonts w:eastAsia="MingLiU" w:cs="Times New Roman"/>
      <w:lang w:eastAsia="ja-JP"/>
    </w:rPr>
  </w:style>
  <w:style w:type="paragraph" w:styleId="ssSection" w:customStyle="1">
    <w:name w:val="ssSection"/>
    <w:basedOn w:val="Normal"/>
    <w:next w:val="ssPara"/>
    <w:uiPriority w:val="49"/>
    <w:semiHidden/>
    <w:rsid w:val="00DB001A"/>
    <w:pPr>
      <w:keepNext/>
      <w:pageBreakBefore/>
      <w:spacing w:after="260"/>
      <w:jc w:val="center"/>
      <w:outlineLvl w:val="0"/>
    </w:pPr>
    <w:rPr>
      <w:b/>
      <w:caps/>
    </w:rPr>
  </w:style>
  <w:style w:type="paragraph" w:styleId="ssSubject" w:customStyle="1">
    <w:name w:val="ssSubject"/>
    <w:basedOn w:val="Normal"/>
    <w:uiPriority w:val="49"/>
    <w:semiHidden/>
    <w:rsid w:val="00DB001A"/>
    <w:pPr>
      <w:spacing w:line="260" w:lineRule="exact"/>
    </w:pPr>
    <w:rPr>
      <w:rFonts w:eastAsia="MingLiU" w:cs="Times New Roman"/>
      <w:b/>
      <w:lang w:eastAsia="ja-JP"/>
    </w:rPr>
  </w:style>
  <w:style w:type="paragraph" w:styleId="Style1" w:customStyle="1">
    <w:name w:val="Style1"/>
    <w:basedOn w:val="Normal"/>
    <w:uiPriority w:val="49"/>
    <w:semiHidden/>
    <w:rsid w:val="00DB001A"/>
    <w:pPr>
      <w:adjustRightInd w:val="0"/>
      <w:snapToGrid w:val="0"/>
      <w:spacing w:line="240" w:lineRule="exact"/>
      <w:jc w:val="left"/>
    </w:pPr>
    <w:rPr>
      <w:rFonts w:ascii="Noto Sans CJK SC Light" w:hAnsi="Noto Sans CJK SC Light" w:eastAsia="Real Text Light" w:cs="Arial"/>
      <w:noProof/>
      <w:sz w:val="16"/>
      <w:szCs w:val="16"/>
      <w:lang w:eastAsia="ja-JP"/>
    </w:rPr>
  </w:style>
  <w:style w:type="paragraph" w:styleId="Definitions3" w:customStyle="1">
    <w:name w:val="Definitions 3"/>
    <w:basedOn w:val="Normal"/>
    <w:rsid w:val="00A57B65"/>
    <w:pPr>
      <w:numPr>
        <w:ilvl w:val="3"/>
        <w:numId w:val="55"/>
      </w:numPr>
      <w:spacing w:after="260"/>
    </w:pPr>
  </w:style>
  <w:style w:type="paragraph" w:styleId="Definitions4" w:customStyle="1">
    <w:name w:val="Definitions 4"/>
    <w:basedOn w:val="Normal"/>
    <w:rsid w:val="00A57B65"/>
    <w:pPr>
      <w:numPr>
        <w:ilvl w:val="4"/>
        <w:numId w:val="55"/>
      </w:numPr>
      <w:spacing w:after="260"/>
    </w:pPr>
  </w:style>
  <w:style w:type="paragraph" w:styleId="EndnoteText">
    <w:name w:val="endnote text"/>
    <w:basedOn w:val="Normal"/>
    <w:link w:val="EndnoteTextChar"/>
    <w:uiPriority w:val="99"/>
    <w:rsid w:val="00F238C5"/>
    <w:rPr>
      <w:sz w:val="20"/>
      <w:szCs w:val="20"/>
    </w:rPr>
  </w:style>
  <w:style w:type="character" w:styleId="EndnoteTextChar" w:customStyle="1">
    <w:name w:val="Endnote Text Char"/>
    <w:basedOn w:val="DefaultParagraphFont"/>
    <w:link w:val="EndnoteText"/>
    <w:uiPriority w:val="99"/>
    <w:rsid w:val="00F238C5"/>
    <w:rPr>
      <w:rFonts w:eastAsiaTheme="minorHAnsi" w:cstheme="minorBidi"/>
      <w:sz w:val="20"/>
      <w:szCs w:val="20"/>
      <w:lang w:eastAsia="en-US"/>
    </w:rPr>
  </w:style>
  <w:style w:type="paragraph" w:styleId="CommentText">
    <w:name w:val="annotation text"/>
    <w:basedOn w:val="Normal"/>
    <w:link w:val="CommentTextChar"/>
    <w:uiPriority w:val="99"/>
    <w:rsid w:val="00F238C5"/>
    <w:rPr>
      <w:sz w:val="20"/>
      <w:szCs w:val="20"/>
    </w:rPr>
  </w:style>
  <w:style w:type="character" w:styleId="CommentTextChar" w:customStyle="1">
    <w:name w:val="Comment Text Char"/>
    <w:basedOn w:val="DefaultParagraphFont"/>
    <w:link w:val="CommentText"/>
    <w:uiPriority w:val="99"/>
    <w:rsid w:val="00F238C5"/>
    <w:rPr>
      <w:rFonts w:eastAsiaTheme="minorHAnsi" w:cstheme="minorBidi"/>
      <w:sz w:val="20"/>
      <w:szCs w:val="20"/>
      <w:lang w:eastAsia="en-US"/>
    </w:rPr>
  </w:style>
  <w:style w:type="numbering" w:styleId="111111">
    <w:name w:val="Outline List 2"/>
    <w:basedOn w:val="NoList"/>
    <w:uiPriority w:val="99"/>
    <w:semiHidden/>
    <w:rsid w:val="00F238C5"/>
    <w:pPr>
      <w:numPr>
        <w:numId w:val="61"/>
      </w:numPr>
    </w:pPr>
  </w:style>
  <w:style w:type="numbering" w:styleId="1ai">
    <w:name w:val="Outline List 1"/>
    <w:basedOn w:val="NoList"/>
    <w:uiPriority w:val="99"/>
    <w:semiHidden/>
    <w:rsid w:val="00F238C5"/>
    <w:pPr>
      <w:numPr>
        <w:numId w:val="62"/>
      </w:numPr>
    </w:pPr>
  </w:style>
  <w:style w:type="numbering" w:styleId="ArticleSection">
    <w:name w:val="Outline List 3"/>
    <w:basedOn w:val="NoList"/>
    <w:uiPriority w:val="99"/>
    <w:semiHidden/>
    <w:rsid w:val="00F238C5"/>
    <w:pPr>
      <w:numPr>
        <w:numId w:val="63"/>
      </w:numPr>
    </w:pPr>
  </w:style>
  <w:style w:type="paragraph" w:styleId="BalloonText">
    <w:name w:val="Balloon Text"/>
    <w:basedOn w:val="Normal"/>
    <w:link w:val="BalloonTextChar"/>
    <w:uiPriority w:val="99"/>
    <w:semiHidden/>
    <w:rsid w:val="00F238C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38C5"/>
    <w:rPr>
      <w:rFonts w:ascii="Segoe UI" w:hAnsi="Segoe UI" w:cs="Segoe UI" w:eastAsiaTheme="minorHAnsi"/>
      <w:sz w:val="18"/>
      <w:szCs w:val="18"/>
      <w:lang w:eastAsia="en-US"/>
    </w:rPr>
  </w:style>
  <w:style w:type="paragraph" w:styleId="Bibliography">
    <w:name w:val="Bibliography"/>
    <w:basedOn w:val="Normal"/>
    <w:next w:val="Normal"/>
    <w:uiPriority w:val="59"/>
    <w:semiHidden/>
    <w:rsid w:val="00F238C5"/>
  </w:style>
  <w:style w:type="paragraph" w:styleId="BlockText">
    <w:name w:val="Block Text"/>
    <w:basedOn w:val="Normal"/>
    <w:uiPriority w:val="99"/>
    <w:semiHidden/>
    <w:rsid w:val="00F238C5"/>
    <w:pPr>
      <w:pBdr>
        <w:top w:val="single" w:color="88E5BD" w:themeColor="accent1" w:sz="2" w:space="10"/>
        <w:left w:val="single" w:color="88E5BD" w:themeColor="accent1" w:sz="2" w:space="10"/>
        <w:bottom w:val="single" w:color="88E5BD" w:themeColor="accent1" w:sz="2" w:space="10"/>
        <w:right w:val="single" w:color="88E5BD" w:themeColor="accent1" w:sz="2" w:space="10"/>
      </w:pBdr>
      <w:ind w:left="1152" w:right="1152"/>
    </w:pPr>
    <w:rPr>
      <w:rFonts w:asciiTheme="minorHAnsi" w:hAnsiTheme="minorHAnsi" w:eastAsiaTheme="minorEastAsia"/>
      <w:i/>
      <w:iCs/>
      <w:color w:val="88E5BD" w:themeColor="accent1"/>
    </w:rPr>
  </w:style>
  <w:style w:type="paragraph" w:styleId="BodyText">
    <w:name w:val="Body Text"/>
    <w:basedOn w:val="Normal"/>
    <w:link w:val="BodyTextChar"/>
    <w:uiPriority w:val="99"/>
    <w:semiHidden/>
    <w:rsid w:val="00F238C5"/>
    <w:pPr>
      <w:spacing w:after="120"/>
    </w:pPr>
  </w:style>
  <w:style w:type="character" w:styleId="BodyTextChar" w:customStyle="1">
    <w:name w:val="Body Text Char"/>
    <w:basedOn w:val="DefaultParagraphFont"/>
    <w:link w:val="BodyText"/>
    <w:uiPriority w:val="99"/>
    <w:rsid w:val="00F238C5"/>
    <w:rPr>
      <w:rFonts w:eastAsiaTheme="minorHAnsi" w:cstheme="minorBidi"/>
      <w:lang w:eastAsia="en-US"/>
    </w:rPr>
  </w:style>
  <w:style w:type="paragraph" w:styleId="BodyText2">
    <w:name w:val="Body Text 2"/>
    <w:basedOn w:val="Normal"/>
    <w:link w:val="BodyText2Char"/>
    <w:uiPriority w:val="99"/>
    <w:semiHidden/>
    <w:rsid w:val="00F238C5"/>
    <w:pPr>
      <w:spacing w:after="120" w:line="480" w:lineRule="auto"/>
    </w:pPr>
  </w:style>
  <w:style w:type="character" w:styleId="BodyText2Char" w:customStyle="1">
    <w:name w:val="Body Text 2 Char"/>
    <w:basedOn w:val="DefaultParagraphFont"/>
    <w:link w:val="BodyText2"/>
    <w:uiPriority w:val="99"/>
    <w:semiHidden/>
    <w:rsid w:val="00F238C5"/>
    <w:rPr>
      <w:rFonts w:eastAsiaTheme="minorHAnsi" w:cstheme="minorBidi"/>
      <w:lang w:eastAsia="en-US"/>
    </w:rPr>
  </w:style>
  <w:style w:type="paragraph" w:styleId="BodyText3">
    <w:name w:val="Body Text 3"/>
    <w:basedOn w:val="Normal"/>
    <w:link w:val="BodyText3Char"/>
    <w:uiPriority w:val="99"/>
    <w:semiHidden/>
    <w:rsid w:val="00F238C5"/>
    <w:pPr>
      <w:spacing w:after="120"/>
    </w:pPr>
    <w:rPr>
      <w:sz w:val="16"/>
      <w:szCs w:val="16"/>
    </w:rPr>
  </w:style>
  <w:style w:type="character" w:styleId="BodyText3Char" w:customStyle="1">
    <w:name w:val="Body Text 3 Char"/>
    <w:basedOn w:val="DefaultParagraphFont"/>
    <w:link w:val="BodyText3"/>
    <w:uiPriority w:val="99"/>
    <w:semiHidden/>
    <w:rsid w:val="00F238C5"/>
    <w:rPr>
      <w:rFonts w:eastAsiaTheme="minorHAnsi" w:cstheme="minorBidi"/>
      <w:sz w:val="16"/>
      <w:szCs w:val="16"/>
      <w:lang w:eastAsia="en-US"/>
    </w:rPr>
  </w:style>
  <w:style w:type="paragraph" w:styleId="BodyTextFirstIndent">
    <w:name w:val="Body Text First Indent"/>
    <w:basedOn w:val="BodyText"/>
    <w:link w:val="BodyTextFirstIndentChar"/>
    <w:uiPriority w:val="99"/>
    <w:semiHidden/>
    <w:rsid w:val="00F238C5"/>
    <w:pPr>
      <w:spacing w:after="0"/>
      <w:ind w:firstLine="360"/>
    </w:pPr>
  </w:style>
  <w:style w:type="character" w:styleId="BodyTextFirstIndentChar" w:customStyle="1">
    <w:name w:val="Body Text First Indent Char"/>
    <w:basedOn w:val="BodyTextChar"/>
    <w:link w:val="BodyTextFirstIndent"/>
    <w:uiPriority w:val="99"/>
    <w:rsid w:val="00F238C5"/>
    <w:rPr>
      <w:rFonts w:eastAsiaTheme="minorHAnsi" w:cstheme="minorBidi"/>
      <w:lang w:eastAsia="en-US"/>
    </w:rPr>
  </w:style>
  <w:style w:type="paragraph" w:styleId="BodyTextIndent">
    <w:name w:val="Body Text Indent"/>
    <w:basedOn w:val="Normal"/>
    <w:link w:val="BodyTextIndentChar"/>
    <w:uiPriority w:val="99"/>
    <w:semiHidden/>
    <w:rsid w:val="00F238C5"/>
    <w:pPr>
      <w:spacing w:after="120"/>
      <w:ind w:left="283"/>
    </w:pPr>
  </w:style>
  <w:style w:type="character" w:styleId="BodyTextIndentChar" w:customStyle="1">
    <w:name w:val="Body Text Indent Char"/>
    <w:basedOn w:val="DefaultParagraphFont"/>
    <w:link w:val="BodyTextIndent"/>
    <w:uiPriority w:val="99"/>
    <w:rsid w:val="00F238C5"/>
    <w:rPr>
      <w:rFonts w:eastAsiaTheme="minorHAnsi" w:cstheme="minorBidi"/>
      <w:lang w:eastAsia="en-US"/>
    </w:rPr>
  </w:style>
  <w:style w:type="paragraph" w:styleId="BodyTextFirstIndent2">
    <w:name w:val="Body Text First Indent 2"/>
    <w:basedOn w:val="BodyTextIndent"/>
    <w:link w:val="BodyTextFirstIndent2Char"/>
    <w:uiPriority w:val="99"/>
    <w:semiHidden/>
    <w:rsid w:val="00F238C5"/>
    <w:pPr>
      <w:spacing w:after="0"/>
      <w:ind w:left="360" w:firstLine="360"/>
    </w:pPr>
  </w:style>
  <w:style w:type="character" w:styleId="BodyTextFirstIndent2Char" w:customStyle="1">
    <w:name w:val="Body Text First Indent 2 Char"/>
    <w:basedOn w:val="BodyTextIndentChar"/>
    <w:link w:val="BodyTextFirstIndent2"/>
    <w:uiPriority w:val="99"/>
    <w:rsid w:val="00F238C5"/>
    <w:rPr>
      <w:rFonts w:eastAsiaTheme="minorHAnsi" w:cstheme="minorBidi"/>
      <w:lang w:eastAsia="en-US"/>
    </w:rPr>
  </w:style>
  <w:style w:type="paragraph" w:styleId="BodyTextIndent2">
    <w:name w:val="Body Text Indent 2"/>
    <w:basedOn w:val="Normal"/>
    <w:link w:val="BodyTextIndent2Char"/>
    <w:uiPriority w:val="99"/>
    <w:semiHidden/>
    <w:rsid w:val="00F238C5"/>
    <w:pPr>
      <w:spacing w:after="120" w:line="480" w:lineRule="auto"/>
      <w:ind w:left="283"/>
    </w:pPr>
  </w:style>
  <w:style w:type="character" w:styleId="BodyTextIndent2Char" w:customStyle="1">
    <w:name w:val="Body Text Indent 2 Char"/>
    <w:basedOn w:val="DefaultParagraphFont"/>
    <w:link w:val="BodyTextIndent2"/>
    <w:uiPriority w:val="99"/>
    <w:rsid w:val="00F238C5"/>
    <w:rPr>
      <w:rFonts w:eastAsiaTheme="minorHAnsi" w:cstheme="minorBidi"/>
      <w:lang w:eastAsia="en-US"/>
    </w:rPr>
  </w:style>
  <w:style w:type="paragraph" w:styleId="BodyTextIndent3">
    <w:name w:val="Body Text Indent 3"/>
    <w:basedOn w:val="Normal"/>
    <w:link w:val="BodyTextIndent3Char"/>
    <w:uiPriority w:val="99"/>
    <w:semiHidden/>
    <w:rsid w:val="00F238C5"/>
    <w:pPr>
      <w:spacing w:after="120"/>
      <w:ind w:left="283"/>
    </w:pPr>
    <w:rPr>
      <w:sz w:val="16"/>
      <w:szCs w:val="16"/>
    </w:rPr>
  </w:style>
  <w:style w:type="character" w:styleId="BodyTextIndent3Char" w:customStyle="1">
    <w:name w:val="Body Text Indent 3 Char"/>
    <w:basedOn w:val="DefaultParagraphFont"/>
    <w:link w:val="BodyTextIndent3"/>
    <w:uiPriority w:val="99"/>
    <w:rsid w:val="00F238C5"/>
    <w:rPr>
      <w:rFonts w:eastAsiaTheme="minorHAnsi" w:cstheme="minorBidi"/>
      <w:sz w:val="16"/>
      <w:szCs w:val="16"/>
      <w:lang w:eastAsia="en-US"/>
    </w:rPr>
  </w:style>
  <w:style w:type="character" w:styleId="BookTitle">
    <w:name w:val="Book Title"/>
    <w:basedOn w:val="DefaultParagraphFont"/>
    <w:uiPriority w:val="59"/>
    <w:semiHidden/>
    <w:qFormat/>
    <w:rsid w:val="00F238C5"/>
    <w:rPr>
      <w:b/>
      <w:bCs/>
      <w:i/>
      <w:iCs/>
      <w:spacing w:val="5"/>
    </w:rPr>
  </w:style>
  <w:style w:type="paragraph" w:styleId="Caption">
    <w:name w:val="caption"/>
    <w:basedOn w:val="Normal"/>
    <w:next w:val="Normal"/>
    <w:uiPriority w:val="35"/>
    <w:semiHidden/>
    <w:qFormat/>
    <w:rsid w:val="00F238C5"/>
    <w:pPr>
      <w:spacing w:after="200"/>
    </w:pPr>
    <w:rPr>
      <w:i/>
      <w:iCs/>
      <w:color w:val="FC515B" w:themeColor="text2"/>
      <w:sz w:val="18"/>
      <w:szCs w:val="18"/>
    </w:rPr>
  </w:style>
  <w:style w:type="paragraph" w:styleId="Closing">
    <w:name w:val="Closing"/>
    <w:basedOn w:val="Normal"/>
    <w:link w:val="ClosingChar"/>
    <w:uiPriority w:val="99"/>
    <w:semiHidden/>
    <w:rsid w:val="00F238C5"/>
    <w:pPr>
      <w:ind w:left="4252"/>
    </w:pPr>
  </w:style>
  <w:style w:type="character" w:styleId="ClosingChar" w:customStyle="1">
    <w:name w:val="Closing Char"/>
    <w:basedOn w:val="DefaultParagraphFont"/>
    <w:link w:val="Closing"/>
    <w:uiPriority w:val="99"/>
    <w:semiHidden/>
    <w:rsid w:val="00F238C5"/>
    <w:rPr>
      <w:rFonts w:eastAsiaTheme="minorHAnsi" w:cstheme="minorBidi"/>
      <w:lang w:eastAsia="en-US"/>
    </w:rPr>
  </w:style>
  <w:style w:type="table" w:styleId="ColorfulGrid">
    <w:name w:val="Colorful Grid"/>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D5D5D5" w:themeFill="text1" w:themeFillTint="33"/>
    </w:tcPr>
    <w:tblStylePr w:type="firstRow">
      <w:rPr>
        <w:b/>
        <w:bCs/>
      </w:rPr>
      <w:tblPr/>
      <w:tcPr>
        <w:shd w:val="clear" w:color="auto" w:fill="ACACAC" w:themeFill="text1" w:themeFillTint="66"/>
      </w:tcPr>
    </w:tblStylePr>
    <w:tblStylePr w:type="lastRow">
      <w:rPr>
        <w:b/>
        <w:bCs/>
        <w:color w:val="303030" w:themeColor="text1"/>
      </w:rPr>
      <w:tblPr/>
      <w:tcPr>
        <w:shd w:val="clear" w:color="auto" w:fill="ACACAC" w:themeFill="text1" w:themeFillTint="66"/>
      </w:tcPr>
    </w:tblStylePr>
    <w:tblStylePr w:type="firstCol">
      <w:rPr>
        <w:color w:val="FFFFFF" w:themeColor="background1"/>
      </w:rPr>
      <w:tblPr/>
      <w:tcPr>
        <w:shd w:val="clear" w:color="auto" w:fill="232323" w:themeFill="text1" w:themeFillShade="BF"/>
      </w:tcPr>
    </w:tblStylePr>
    <w:tblStylePr w:type="lastCol">
      <w:rPr>
        <w:color w:val="FFFFFF" w:themeColor="background1"/>
      </w:rPr>
      <w:tblPr/>
      <w:tcPr>
        <w:shd w:val="clear" w:color="auto" w:fill="232323" w:themeFill="text1" w:themeFillShade="BF"/>
      </w:tc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ColorfulGrid-Accent1">
    <w:name w:val="Colorful Grid Accent 1"/>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E7F9F1" w:themeFill="accent1" w:themeFillTint="33"/>
    </w:tcPr>
    <w:tblStylePr w:type="firstRow">
      <w:rPr>
        <w:b/>
        <w:bCs/>
      </w:rPr>
      <w:tblPr/>
      <w:tcPr>
        <w:shd w:val="clear" w:color="auto" w:fill="CFF4E4" w:themeFill="accent1" w:themeFillTint="66"/>
      </w:tcPr>
    </w:tblStylePr>
    <w:tblStylePr w:type="lastRow">
      <w:rPr>
        <w:b/>
        <w:bCs/>
        <w:color w:val="303030" w:themeColor="text1"/>
      </w:rPr>
      <w:tblPr/>
      <w:tcPr>
        <w:shd w:val="clear" w:color="auto" w:fill="CFF4E4" w:themeFill="accent1" w:themeFillTint="66"/>
      </w:tcPr>
    </w:tblStylePr>
    <w:tblStylePr w:type="firstCol">
      <w:rPr>
        <w:color w:val="FFFFFF" w:themeColor="background1"/>
      </w:rPr>
      <w:tblPr/>
      <w:tcPr>
        <w:shd w:val="clear" w:color="auto" w:fill="3CD493" w:themeFill="accent1" w:themeFillShade="BF"/>
      </w:tcPr>
    </w:tblStylePr>
    <w:tblStylePr w:type="lastCol">
      <w:rPr>
        <w:color w:val="FFFFFF" w:themeColor="background1"/>
      </w:rPr>
      <w:tblPr/>
      <w:tcPr>
        <w:shd w:val="clear" w:color="auto" w:fill="3CD493" w:themeFill="accent1" w:themeFillShade="BF"/>
      </w:tcPr>
    </w:tblStylePr>
    <w:tblStylePr w:type="band1Vert">
      <w:tblPr/>
      <w:tcPr>
        <w:shd w:val="clear" w:color="auto" w:fill="C3F2DE" w:themeFill="accent1" w:themeFillTint="7F"/>
      </w:tcPr>
    </w:tblStylePr>
    <w:tblStylePr w:type="band1Horz">
      <w:tblPr/>
      <w:tcPr>
        <w:shd w:val="clear" w:color="auto" w:fill="C3F2DE" w:themeFill="accent1" w:themeFillTint="7F"/>
      </w:tcPr>
    </w:tblStylePr>
  </w:style>
  <w:style w:type="table" w:styleId="ColorfulGrid-Accent2">
    <w:name w:val="Colorful Grid Accent 2"/>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DCF2F9" w:themeFill="accent2" w:themeFillTint="33"/>
    </w:tcPr>
    <w:tblStylePr w:type="firstRow">
      <w:rPr>
        <w:b/>
        <w:bCs/>
      </w:rPr>
      <w:tblPr/>
      <w:tcPr>
        <w:shd w:val="clear" w:color="auto" w:fill="BAE6F4" w:themeFill="accent2" w:themeFillTint="66"/>
      </w:tcPr>
    </w:tblStylePr>
    <w:tblStylePr w:type="lastRow">
      <w:rPr>
        <w:b/>
        <w:bCs/>
        <w:color w:val="303030" w:themeColor="text1"/>
      </w:rPr>
      <w:tblPr/>
      <w:tcPr>
        <w:shd w:val="clear" w:color="auto" w:fill="BAE6F4" w:themeFill="accent2" w:themeFillTint="66"/>
      </w:tcPr>
    </w:tblStylePr>
    <w:tblStylePr w:type="firstCol">
      <w:rPr>
        <w:color w:val="FFFFFF" w:themeColor="background1"/>
      </w:rPr>
      <w:tblPr/>
      <w:tcPr>
        <w:shd w:val="clear" w:color="auto" w:fill="1EA1CA" w:themeFill="accent2" w:themeFillShade="BF"/>
      </w:tcPr>
    </w:tblStylePr>
    <w:tblStylePr w:type="lastCol">
      <w:rPr>
        <w:color w:val="FFFFFF" w:themeColor="background1"/>
      </w:rPr>
      <w:tblPr/>
      <w:tcPr>
        <w:shd w:val="clear" w:color="auto" w:fill="1EA1CA" w:themeFill="accent2" w:themeFillShade="BF"/>
      </w:tcPr>
    </w:tblStylePr>
    <w:tblStylePr w:type="band1Vert">
      <w:tblPr/>
      <w:tcPr>
        <w:shd w:val="clear" w:color="auto" w:fill="A9E0F2" w:themeFill="accent2" w:themeFillTint="7F"/>
      </w:tcPr>
    </w:tblStylePr>
    <w:tblStylePr w:type="band1Horz">
      <w:tblPr/>
      <w:tcPr>
        <w:shd w:val="clear" w:color="auto" w:fill="A9E0F2" w:themeFill="accent2" w:themeFillTint="7F"/>
      </w:tcPr>
    </w:tblStylePr>
  </w:style>
  <w:style w:type="table" w:styleId="ColorfulGrid-Accent3">
    <w:name w:val="Colorful Grid Accent 3"/>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E7E9FC" w:themeFill="accent3" w:themeFillTint="33"/>
    </w:tcPr>
    <w:tblStylePr w:type="firstRow">
      <w:rPr>
        <w:b/>
        <w:bCs/>
      </w:rPr>
      <w:tblPr/>
      <w:tcPr>
        <w:shd w:val="clear" w:color="auto" w:fill="CFD4FA" w:themeFill="accent3" w:themeFillTint="66"/>
      </w:tcPr>
    </w:tblStylePr>
    <w:tblStylePr w:type="lastRow">
      <w:rPr>
        <w:b/>
        <w:bCs/>
        <w:color w:val="303030" w:themeColor="text1"/>
      </w:rPr>
      <w:tblPr/>
      <w:tcPr>
        <w:shd w:val="clear" w:color="auto" w:fill="CFD4FA" w:themeFill="accent3" w:themeFillTint="66"/>
      </w:tcPr>
    </w:tblStylePr>
    <w:tblStylePr w:type="firstCol">
      <w:rPr>
        <w:color w:val="FFFFFF" w:themeColor="background1"/>
      </w:rPr>
      <w:tblPr/>
      <w:tcPr>
        <w:shd w:val="clear" w:color="auto" w:fill="3147EC" w:themeFill="accent3" w:themeFillShade="BF"/>
      </w:tcPr>
    </w:tblStylePr>
    <w:tblStylePr w:type="lastCol">
      <w:rPr>
        <w:color w:val="FFFFFF" w:themeColor="background1"/>
      </w:rPr>
      <w:tblPr/>
      <w:tcPr>
        <w:shd w:val="clear" w:color="auto" w:fill="3147EC" w:themeFill="accent3" w:themeFillShade="BF"/>
      </w:tcPr>
    </w:tblStylePr>
    <w:tblStylePr w:type="band1Vert">
      <w:tblPr/>
      <w:tcPr>
        <w:shd w:val="clear" w:color="auto" w:fill="C4CAF9" w:themeFill="accent3" w:themeFillTint="7F"/>
      </w:tcPr>
    </w:tblStylePr>
    <w:tblStylePr w:type="band1Horz">
      <w:tblPr/>
      <w:tcPr>
        <w:shd w:val="clear" w:color="auto" w:fill="C4CAF9" w:themeFill="accent3" w:themeFillTint="7F"/>
      </w:tcPr>
    </w:tblStylePr>
  </w:style>
  <w:style w:type="table" w:styleId="ColorfulGrid-Accent4">
    <w:name w:val="Colorful Grid Accent 4"/>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FAECFA" w:themeFill="accent4" w:themeFillTint="33"/>
    </w:tcPr>
    <w:tblStylePr w:type="firstRow">
      <w:rPr>
        <w:b/>
        <w:bCs/>
      </w:rPr>
      <w:tblPr/>
      <w:tcPr>
        <w:shd w:val="clear" w:color="auto" w:fill="F6DAF6" w:themeFill="accent4" w:themeFillTint="66"/>
      </w:tcPr>
    </w:tblStylePr>
    <w:tblStylePr w:type="lastRow">
      <w:rPr>
        <w:b/>
        <w:bCs/>
        <w:color w:val="303030" w:themeColor="text1"/>
      </w:rPr>
      <w:tblPr/>
      <w:tcPr>
        <w:shd w:val="clear" w:color="auto" w:fill="F6DAF6" w:themeFill="accent4" w:themeFillTint="66"/>
      </w:tcPr>
    </w:tblStylePr>
    <w:tblStylePr w:type="firstCol">
      <w:rPr>
        <w:color w:val="FFFFFF" w:themeColor="background1"/>
      </w:rPr>
      <w:tblPr/>
      <w:tcPr>
        <w:shd w:val="clear" w:color="auto" w:fill="D752D7" w:themeFill="accent4" w:themeFillShade="BF"/>
      </w:tcPr>
    </w:tblStylePr>
    <w:tblStylePr w:type="lastCol">
      <w:rPr>
        <w:color w:val="FFFFFF" w:themeColor="background1"/>
      </w:rPr>
      <w:tblPr/>
      <w:tcPr>
        <w:shd w:val="clear" w:color="auto" w:fill="D752D7" w:themeFill="accent4" w:themeFillShade="BF"/>
      </w:tcPr>
    </w:tblStylePr>
    <w:tblStylePr w:type="band1Vert">
      <w:tblPr/>
      <w:tcPr>
        <w:shd w:val="clear" w:color="auto" w:fill="F4D1F4" w:themeFill="accent4" w:themeFillTint="7F"/>
      </w:tcPr>
    </w:tblStylePr>
    <w:tblStylePr w:type="band1Horz">
      <w:tblPr/>
      <w:tcPr>
        <w:shd w:val="clear" w:color="auto" w:fill="F4D1F4" w:themeFill="accent4" w:themeFillTint="7F"/>
      </w:tcPr>
    </w:tblStylePr>
  </w:style>
  <w:style w:type="table" w:styleId="ColorfulGrid-Accent5">
    <w:name w:val="Colorful Grid Accent 5"/>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FEE9EA" w:themeFill="accent5" w:themeFillTint="33"/>
    </w:tcPr>
    <w:tblStylePr w:type="firstRow">
      <w:rPr>
        <w:b/>
        <w:bCs/>
      </w:rPr>
      <w:tblPr/>
      <w:tcPr>
        <w:shd w:val="clear" w:color="auto" w:fill="FED4D6" w:themeFill="accent5" w:themeFillTint="66"/>
      </w:tcPr>
    </w:tblStylePr>
    <w:tblStylePr w:type="lastRow">
      <w:rPr>
        <w:b/>
        <w:bCs/>
        <w:color w:val="303030" w:themeColor="text1"/>
      </w:rPr>
      <w:tblPr/>
      <w:tcPr>
        <w:shd w:val="clear" w:color="auto" w:fill="FED4D6" w:themeFill="accent5" w:themeFillTint="66"/>
      </w:tcPr>
    </w:tblStylePr>
    <w:tblStylePr w:type="firstCol">
      <w:rPr>
        <w:color w:val="FFFFFF" w:themeColor="background1"/>
      </w:rPr>
      <w:tblPr/>
      <w:tcPr>
        <w:shd w:val="clear" w:color="auto" w:fill="FB323D" w:themeFill="accent5" w:themeFillShade="BF"/>
      </w:tcPr>
    </w:tblStylePr>
    <w:tblStylePr w:type="lastCol">
      <w:rPr>
        <w:color w:val="FFFFFF" w:themeColor="background1"/>
      </w:rPr>
      <w:tblPr/>
      <w:tcPr>
        <w:shd w:val="clear" w:color="auto" w:fill="FB323D" w:themeFill="accent5" w:themeFillShade="BF"/>
      </w:tcPr>
    </w:tblStylePr>
    <w:tblStylePr w:type="band1Vert">
      <w:tblPr/>
      <w:tcPr>
        <w:shd w:val="clear" w:color="auto" w:fill="FECACD" w:themeFill="accent5" w:themeFillTint="7F"/>
      </w:tcPr>
    </w:tblStylePr>
    <w:tblStylePr w:type="band1Horz">
      <w:tblPr/>
      <w:tcPr>
        <w:shd w:val="clear" w:color="auto" w:fill="FECACD" w:themeFill="accent5" w:themeFillTint="7F"/>
      </w:tcPr>
    </w:tblStylePr>
  </w:style>
  <w:style w:type="table" w:styleId="ColorfulGrid-Accent6">
    <w:name w:val="Colorful Grid Accent 6"/>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F0FBF6" w:themeFill="accent6" w:themeFillTint="33"/>
    </w:tcPr>
    <w:tblStylePr w:type="firstRow">
      <w:rPr>
        <w:b/>
        <w:bCs/>
      </w:rPr>
      <w:tblPr/>
      <w:tcPr>
        <w:shd w:val="clear" w:color="auto" w:fill="E2F8EE" w:themeFill="accent6" w:themeFillTint="66"/>
      </w:tcPr>
    </w:tblStylePr>
    <w:tblStylePr w:type="lastRow">
      <w:rPr>
        <w:b/>
        <w:bCs/>
        <w:color w:val="303030" w:themeColor="text1"/>
      </w:rPr>
      <w:tblPr/>
      <w:tcPr>
        <w:shd w:val="clear" w:color="auto" w:fill="E2F8EE" w:themeFill="accent6" w:themeFillTint="66"/>
      </w:tcPr>
    </w:tblStylePr>
    <w:tblStylePr w:type="firstCol">
      <w:rPr>
        <w:color w:val="FFFFFF" w:themeColor="background1"/>
      </w:rPr>
      <w:tblPr/>
      <w:tcPr>
        <w:shd w:val="clear" w:color="auto" w:fill="60DBA6" w:themeFill="accent6" w:themeFillShade="BF"/>
      </w:tcPr>
    </w:tblStylePr>
    <w:tblStylePr w:type="lastCol">
      <w:rPr>
        <w:color w:val="FFFFFF" w:themeColor="background1"/>
      </w:rPr>
      <w:tblPr/>
      <w:tcPr>
        <w:shd w:val="clear" w:color="auto" w:fill="60DBA6" w:themeFill="accent6" w:themeFillShade="BF"/>
      </w:tcPr>
    </w:tblStylePr>
    <w:tblStylePr w:type="band1Vert">
      <w:tblPr/>
      <w:tcPr>
        <w:shd w:val="clear" w:color="auto" w:fill="DBF7EA" w:themeFill="accent6" w:themeFillTint="7F"/>
      </w:tcPr>
    </w:tblStylePr>
    <w:tblStylePr w:type="band1Horz">
      <w:tblPr/>
      <w:tcPr>
        <w:shd w:val="clear" w:color="auto" w:fill="DBF7EA" w:themeFill="accent6" w:themeFillTint="7F"/>
      </w:tcPr>
    </w:tblStylePr>
  </w:style>
  <w:style w:type="table" w:styleId="ColorfulList">
    <w:name w:val="Colorful List"/>
    <w:basedOn w:val="TableNormal"/>
    <w:uiPriority w:val="72"/>
    <w:semiHidden/>
    <w:rsid w:val="00F238C5"/>
    <w:rPr>
      <w:color w:val="303030" w:themeColor="text1"/>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color="FFFFFF" w:themeColor="background1" w:sz="12" w:space="0"/>
        </w:tcBorders>
        <w:shd w:val="clear" w:color="auto" w:fill="20ABD8" w:themeFill="accent2" w:themeFillShade="CC"/>
      </w:tcPr>
    </w:tblStylePr>
    <w:tblStylePr w:type="lastRow">
      <w:rPr>
        <w:b/>
        <w:bCs/>
        <w:color w:val="20ABD8" w:themeColor="accent2"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CB" w:themeFill="text1" w:themeFillTint="3F"/>
      </w:tcPr>
    </w:tblStylePr>
    <w:tblStylePr w:type="band1Horz">
      <w:tblPr/>
      <w:tcPr>
        <w:shd w:val="clear" w:color="auto" w:fill="D5D5D5" w:themeFill="text1" w:themeFillTint="33"/>
      </w:tcPr>
    </w:tblStylePr>
  </w:style>
  <w:style w:type="table" w:styleId="ColorfulList-Accent1">
    <w:name w:val="Colorful List Accent 1"/>
    <w:basedOn w:val="TableNormal"/>
    <w:uiPriority w:val="72"/>
    <w:semiHidden/>
    <w:rsid w:val="00F238C5"/>
    <w:rPr>
      <w:color w:val="303030" w:themeColor="text1"/>
    </w:rPr>
    <w:tblPr>
      <w:tblStyleRowBandSize w:val="1"/>
      <w:tblStyleColBandSize w:val="1"/>
    </w:tblPr>
    <w:tcPr>
      <w:shd w:val="clear" w:color="auto" w:fill="F3FCF8" w:themeFill="accent1" w:themeFillTint="19"/>
    </w:tcPr>
    <w:tblStylePr w:type="firstRow">
      <w:rPr>
        <w:b/>
        <w:bCs/>
        <w:color w:val="FFFFFF" w:themeColor="background1"/>
      </w:rPr>
      <w:tblPr/>
      <w:tcPr>
        <w:tcBorders>
          <w:bottom w:val="single" w:color="FFFFFF" w:themeColor="background1" w:sz="12" w:space="0"/>
        </w:tcBorders>
        <w:shd w:val="clear" w:color="auto" w:fill="20ABD8" w:themeFill="accent2" w:themeFillShade="CC"/>
      </w:tcPr>
    </w:tblStylePr>
    <w:tblStylePr w:type="lastRow">
      <w:rPr>
        <w:b/>
        <w:bCs/>
        <w:color w:val="20ABD8" w:themeColor="accent2"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8EE" w:themeFill="accent1" w:themeFillTint="3F"/>
      </w:tcPr>
    </w:tblStylePr>
    <w:tblStylePr w:type="band1Horz">
      <w:tblPr/>
      <w:tcPr>
        <w:shd w:val="clear" w:color="auto" w:fill="E7F9F1" w:themeFill="accent1" w:themeFillTint="33"/>
      </w:tcPr>
    </w:tblStylePr>
  </w:style>
  <w:style w:type="table" w:styleId="ColorfulList-Accent2">
    <w:name w:val="Colorful List Accent 2"/>
    <w:basedOn w:val="TableNormal"/>
    <w:uiPriority w:val="72"/>
    <w:semiHidden/>
    <w:rsid w:val="00F238C5"/>
    <w:rPr>
      <w:color w:val="303030" w:themeColor="text1"/>
    </w:rPr>
    <w:tblPr>
      <w:tblStyleRowBandSize w:val="1"/>
      <w:tblStyleColBandSize w:val="1"/>
    </w:tblPr>
    <w:tcPr>
      <w:shd w:val="clear" w:color="auto" w:fill="EDF8FC" w:themeFill="accent2" w:themeFillTint="19"/>
    </w:tcPr>
    <w:tblStylePr w:type="firstRow">
      <w:rPr>
        <w:b/>
        <w:bCs/>
        <w:color w:val="FFFFFF" w:themeColor="background1"/>
      </w:rPr>
      <w:tblPr/>
      <w:tcPr>
        <w:tcBorders>
          <w:bottom w:val="single" w:color="FFFFFF" w:themeColor="background1" w:sz="12" w:space="0"/>
        </w:tcBorders>
        <w:shd w:val="clear" w:color="auto" w:fill="20ABD8" w:themeFill="accent2" w:themeFillShade="CC"/>
      </w:tcPr>
    </w:tblStylePr>
    <w:tblStylePr w:type="lastRow">
      <w:rPr>
        <w:b/>
        <w:bCs/>
        <w:color w:val="20ABD8" w:themeColor="accent2"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FF8" w:themeFill="accent2" w:themeFillTint="3F"/>
      </w:tcPr>
    </w:tblStylePr>
    <w:tblStylePr w:type="band1Horz">
      <w:tblPr/>
      <w:tcPr>
        <w:shd w:val="clear" w:color="auto" w:fill="DCF2F9" w:themeFill="accent2" w:themeFillTint="33"/>
      </w:tcPr>
    </w:tblStylePr>
  </w:style>
  <w:style w:type="table" w:styleId="ColorfulList-Accent3">
    <w:name w:val="Colorful List Accent 3"/>
    <w:basedOn w:val="TableNormal"/>
    <w:uiPriority w:val="72"/>
    <w:semiHidden/>
    <w:rsid w:val="00F238C5"/>
    <w:rPr>
      <w:color w:val="303030" w:themeColor="text1"/>
    </w:rPr>
    <w:tblPr>
      <w:tblStyleRowBandSize w:val="1"/>
      <w:tblStyleColBandSize w:val="1"/>
    </w:tblPr>
    <w:tcPr>
      <w:shd w:val="clear" w:color="auto" w:fill="F3F4FE" w:themeFill="accent3" w:themeFillTint="19"/>
    </w:tcPr>
    <w:tblStylePr w:type="firstRow">
      <w:rPr>
        <w:b/>
        <w:bCs/>
        <w:color w:val="FFFFFF" w:themeColor="background1"/>
      </w:rPr>
      <w:tblPr/>
      <w:tcPr>
        <w:tcBorders>
          <w:bottom w:val="single" w:color="FFFFFF" w:themeColor="background1" w:sz="12" w:space="0"/>
        </w:tcBorders>
        <w:shd w:val="clear" w:color="auto" w:fill="DB63DB" w:themeFill="accent4" w:themeFillShade="CC"/>
      </w:tcPr>
    </w:tblStylePr>
    <w:tblStylePr w:type="lastRow">
      <w:rPr>
        <w:b/>
        <w:bCs/>
        <w:color w:val="DB63DB" w:themeColor="accent4"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4FC" w:themeFill="accent3" w:themeFillTint="3F"/>
      </w:tcPr>
    </w:tblStylePr>
    <w:tblStylePr w:type="band1Horz">
      <w:tblPr/>
      <w:tcPr>
        <w:shd w:val="clear" w:color="auto" w:fill="E7E9FC" w:themeFill="accent3" w:themeFillTint="33"/>
      </w:tcPr>
    </w:tblStylePr>
  </w:style>
  <w:style w:type="table" w:styleId="ColorfulList-Accent4">
    <w:name w:val="Colorful List Accent 4"/>
    <w:basedOn w:val="TableNormal"/>
    <w:uiPriority w:val="72"/>
    <w:semiHidden/>
    <w:rsid w:val="00F238C5"/>
    <w:rPr>
      <w:color w:val="303030" w:themeColor="text1"/>
    </w:rPr>
    <w:tblPr>
      <w:tblStyleRowBandSize w:val="1"/>
      <w:tblStyleColBandSize w:val="1"/>
    </w:tblPr>
    <w:tcPr>
      <w:shd w:val="clear" w:color="auto" w:fill="FDF6FD" w:themeFill="accent4" w:themeFillTint="19"/>
    </w:tcPr>
    <w:tblStylePr w:type="firstRow">
      <w:rPr>
        <w:b/>
        <w:bCs/>
        <w:color w:val="FFFFFF" w:themeColor="background1"/>
      </w:rPr>
      <w:tblPr/>
      <w:tcPr>
        <w:tcBorders>
          <w:bottom w:val="single" w:color="FFFFFF" w:themeColor="background1" w:sz="12" w:space="0"/>
        </w:tcBorders>
        <w:shd w:val="clear" w:color="auto" w:fill="4357ED" w:themeFill="accent3" w:themeFillShade="CC"/>
      </w:tcPr>
    </w:tblStylePr>
    <w:tblStylePr w:type="lastRow">
      <w:rPr>
        <w:b/>
        <w:bCs/>
        <w:color w:val="4357ED" w:themeColor="accent3"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8F9" w:themeFill="accent4" w:themeFillTint="3F"/>
      </w:tcPr>
    </w:tblStylePr>
    <w:tblStylePr w:type="band1Horz">
      <w:tblPr/>
      <w:tcPr>
        <w:shd w:val="clear" w:color="auto" w:fill="FAECFA" w:themeFill="accent4" w:themeFillTint="33"/>
      </w:tcPr>
    </w:tblStylePr>
  </w:style>
  <w:style w:type="table" w:styleId="ColorfulList-Accent5">
    <w:name w:val="Colorful List Accent 5"/>
    <w:basedOn w:val="TableNormal"/>
    <w:uiPriority w:val="72"/>
    <w:semiHidden/>
    <w:rsid w:val="00F238C5"/>
    <w:rPr>
      <w:color w:val="303030" w:themeColor="text1"/>
    </w:rPr>
    <w:tblPr>
      <w:tblStyleRowBandSize w:val="1"/>
      <w:tblStyleColBandSize w:val="1"/>
    </w:tblPr>
    <w:tcPr>
      <w:shd w:val="clear" w:color="auto" w:fill="FEF4F5" w:themeFill="accent5" w:themeFillTint="19"/>
    </w:tcPr>
    <w:tblStylePr w:type="firstRow">
      <w:rPr>
        <w:b/>
        <w:bCs/>
        <w:color w:val="FFFFFF" w:themeColor="background1"/>
      </w:rPr>
      <w:tblPr/>
      <w:tcPr>
        <w:tcBorders>
          <w:bottom w:val="single" w:color="FFFFFF" w:themeColor="background1" w:sz="12" w:space="0"/>
        </w:tcBorders>
        <w:shd w:val="clear" w:color="auto" w:fill="71DFB0" w:themeFill="accent6" w:themeFillShade="CC"/>
      </w:tcPr>
    </w:tblStylePr>
    <w:tblStylePr w:type="lastRow">
      <w:rPr>
        <w:b/>
        <w:bCs/>
        <w:color w:val="71DFB0" w:themeColor="accent6"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E6" w:themeFill="accent5" w:themeFillTint="3F"/>
      </w:tcPr>
    </w:tblStylePr>
    <w:tblStylePr w:type="band1Horz">
      <w:tblPr/>
      <w:tcPr>
        <w:shd w:val="clear" w:color="auto" w:fill="FEE9EA" w:themeFill="accent5" w:themeFillTint="33"/>
      </w:tcPr>
    </w:tblStylePr>
  </w:style>
  <w:style w:type="table" w:styleId="ColorfulList-Accent6">
    <w:name w:val="Colorful List Accent 6"/>
    <w:basedOn w:val="TableNormal"/>
    <w:uiPriority w:val="72"/>
    <w:semiHidden/>
    <w:rsid w:val="00F238C5"/>
    <w:rPr>
      <w:color w:val="303030" w:themeColor="text1"/>
    </w:rPr>
    <w:tblPr>
      <w:tblStyleRowBandSize w:val="1"/>
      <w:tblStyleColBandSize w:val="1"/>
    </w:tblPr>
    <w:tcPr>
      <w:shd w:val="clear" w:color="auto" w:fill="F7FDFB" w:themeFill="accent6" w:themeFillTint="19"/>
    </w:tcPr>
    <w:tblStylePr w:type="firstRow">
      <w:rPr>
        <w:b/>
        <w:bCs/>
        <w:color w:val="FFFFFF" w:themeColor="background1"/>
      </w:rPr>
      <w:tblPr/>
      <w:tcPr>
        <w:tcBorders>
          <w:bottom w:val="single" w:color="FFFFFF" w:themeColor="background1" w:sz="12" w:space="0"/>
        </w:tcBorders>
        <w:shd w:val="clear" w:color="auto" w:fill="FB4650" w:themeFill="accent5" w:themeFillShade="CC"/>
      </w:tcPr>
    </w:tblStylePr>
    <w:tblStylePr w:type="lastRow">
      <w:rPr>
        <w:b/>
        <w:bCs/>
        <w:color w:val="FB4650" w:themeColor="accent5"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BF4" w:themeFill="accent6" w:themeFillTint="3F"/>
      </w:tcPr>
    </w:tblStylePr>
    <w:tblStylePr w:type="band1Horz">
      <w:tblPr/>
      <w:tcPr>
        <w:shd w:val="clear" w:color="auto" w:fill="F0FBF6" w:themeFill="accent6" w:themeFillTint="33"/>
      </w:tcPr>
    </w:tblStylePr>
  </w:style>
  <w:style w:type="table" w:styleId="ColorfulShading">
    <w:name w:val="Colorful Shading"/>
    <w:basedOn w:val="TableNormal"/>
    <w:uiPriority w:val="71"/>
    <w:semiHidden/>
    <w:rsid w:val="00F238C5"/>
    <w:rPr>
      <w:color w:val="303030" w:themeColor="text1"/>
    </w:rPr>
    <w:tblPr>
      <w:tblStyleRowBandSize w:val="1"/>
      <w:tblStyleColBandSize w:val="1"/>
      <w:tblBorders>
        <w:top w:val="single" w:color="53C2E5" w:themeColor="accent2" w:sz="24" w:space="0"/>
        <w:left w:val="single" w:color="303030" w:themeColor="text1" w:sz="4" w:space="0"/>
        <w:bottom w:val="single" w:color="303030" w:themeColor="text1" w:sz="4" w:space="0"/>
        <w:right w:val="single" w:color="303030" w:themeColor="text1" w:sz="4" w:space="0"/>
        <w:insideH w:val="single" w:color="FFFFFF" w:themeColor="background1" w:sz="4" w:space="0"/>
        <w:insideV w:val="single" w:color="FFFFFF" w:themeColor="background1" w:sz="4" w:space="0"/>
      </w:tblBorders>
    </w:tblPr>
    <w:tcPr>
      <w:shd w:val="clear" w:color="auto" w:fill="EAEAEA" w:themeFill="text1" w:themeFillTint="19"/>
    </w:tcPr>
    <w:tblStylePr w:type="firstRow">
      <w:rPr>
        <w:b/>
        <w:bCs/>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C1C1C" w:themeFill="text1" w:themeFillShade="99"/>
      </w:tcPr>
    </w:tblStylePr>
    <w:tblStylePr w:type="firstCol">
      <w:rPr>
        <w:color w:val="FFFFFF" w:themeColor="background1"/>
      </w:rPr>
      <w:tblPr/>
      <w:tcPr>
        <w:tcBorders>
          <w:top w:val="nil"/>
          <w:left w:val="nil"/>
          <w:bottom w:val="nil"/>
          <w:right w:val="nil"/>
          <w:insideH w:val="single" w:color="1C1C1C" w:themeColor="text1" w:themeShade="99" w:sz="4" w:space="0"/>
          <w:insideV w:val="nil"/>
        </w:tcBorders>
        <w:shd w:val="clear" w:color="auto" w:fill="1C1C1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32323" w:themeFill="text1" w:themeFillShade="BF"/>
      </w:tcPr>
    </w:tblStylePr>
    <w:tblStylePr w:type="band1Vert">
      <w:tblPr/>
      <w:tcPr>
        <w:shd w:val="clear" w:color="auto" w:fill="ACACAC" w:themeFill="text1" w:themeFillTint="66"/>
      </w:tcPr>
    </w:tblStylePr>
    <w:tblStylePr w:type="band1Horz">
      <w:tblPr/>
      <w:tcPr>
        <w:shd w:val="clear" w:color="auto" w:fill="979797" w:themeFill="text1" w:themeFillTint="7F"/>
      </w:tcPr>
    </w:tblStylePr>
    <w:tblStylePr w:type="neCell">
      <w:rPr>
        <w:color w:val="303030" w:themeColor="text1"/>
      </w:rPr>
    </w:tblStylePr>
    <w:tblStylePr w:type="nwCell">
      <w:rPr>
        <w:color w:val="303030" w:themeColor="text1"/>
      </w:rPr>
    </w:tblStylePr>
  </w:style>
  <w:style w:type="table" w:styleId="ColorfulShading-Accent1">
    <w:name w:val="Colorful Shading Accent 1"/>
    <w:basedOn w:val="TableNormal"/>
    <w:uiPriority w:val="71"/>
    <w:semiHidden/>
    <w:rsid w:val="00F238C5"/>
    <w:rPr>
      <w:color w:val="303030" w:themeColor="text1"/>
    </w:rPr>
    <w:tblPr>
      <w:tblStyleRowBandSize w:val="1"/>
      <w:tblStyleColBandSize w:val="1"/>
      <w:tblBorders>
        <w:top w:val="single" w:color="53C2E5" w:themeColor="accent2" w:sz="24" w:space="0"/>
        <w:left w:val="single" w:color="88E5BD" w:themeColor="accent1" w:sz="4" w:space="0"/>
        <w:bottom w:val="single" w:color="88E5BD" w:themeColor="accent1" w:sz="4" w:space="0"/>
        <w:right w:val="single" w:color="88E5BD" w:themeColor="accent1" w:sz="4" w:space="0"/>
        <w:insideH w:val="single" w:color="FFFFFF" w:themeColor="background1" w:sz="4" w:space="0"/>
        <w:insideV w:val="single" w:color="FFFFFF" w:themeColor="background1" w:sz="4" w:space="0"/>
      </w:tblBorders>
    </w:tblPr>
    <w:tcPr>
      <w:shd w:val="clear" w:color="auto" w:fill="F3FCF8" w:themeFill="accent1" w:themeFillTint="19"/>
    </w:tcPr>
    <w:tblStylePr w:type="firstRow">
      <w:rPr>
        <w:b/>
        <w:bCs/>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B377" w:themeFill="accent1" w:themeFillShade="99"/>
      </w:tcPr>
    </w:tblStylePr>
    <w:tblStylePr w:type="firstCol">
      <w:rPr>
        <w:color w:val="FFFFFF" w:themeColor="background1"/>
      </w:rPr>
      <w:tblPr/>
      <w:tcPr>
        <w:tcBorders>
          <w:top w:val="nil"/>
          <w:left w:val="nil"/>
          <w:bottom w:val="nil"/>
          <w:right w:val="nil"/>
          <w:insideH w:val="single" w:color="27B377" w:themeColor="accent1" w:themeShade="99" w:sz="4" w:space="0"/>
          <w:insideV w:val="nil"/>
        </w:tcBorders>
        <w:shd w:val="clear" w:color="auto" w:fill="27B37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B377" w:themeFill="accent1" w:themeFillShade="99"/>
      </w:tcPr>
    </w:tblStylePr>
    <w:tblStylePr w:type="band1Vert">
      <w:tblPr/>
      <w:tcPr>
        <w:shd w:val="clear" w:color="auto" w:fill="CFF4E4" w:themeFill="accent1" w:themeFillTint="66"/>
      </w:tcPr>
    </w:tblStylePr>
    <w:tblStylePr w:type="band1Horz">
      <w:tblPr/>
      <w:tcPr>
        <w:shd w:val="clear" w:color="auto" w:fill="C3F2DE" w:themeFill="accent1" w:themeFillTint="7F"/>
      </w:tcPr>
    </w:tblStylePr>
    <w:tblStylePr w:type="neCell">
      <w:rPr>
        <w:color w:val="303030" w:themeColor="text1"/>
      </w:rPr>
    </w:tblStylePr>
    <w:tblStylePr w:type="nwCell">
      <w:rPr>
        <w:color w:val="303030" w:themeColor="text1"/>
      </w:rPr>
    </w:tblStylePr>
  </w:style>
  <w:style w:type="table" w:styleId="ColorfulShading-Accent2">
    <w:name w:val="Colorful Shading Accent 2"/>
    <w:basedOn w:val="TableNormal"/>
    <w:uiPriority w:val="71"/>
    <w:semiHidden/>
    <w:rsid w:val="00F238C5"/>
    <w:rPr>
      <w:color w:val="303030" w:themeColor="text1"/>
    </w:rPr>
    <w:tblPr>
      <w:tblStyleRowBandSize w:val="1"/>
      <w:tblStyleColBandSize w:val="1"/>
      <w:tblBorders>
        <w:top w:val="single" w:color="53C2E5" w:themeColor="accent2" w:sz="24" w:space="0"/>
        <w:left w:val="single" w:color="53C2E5" w:themeColor="accent2" w:sz="4" w:space="0"/>
        <w:bottom w:val="single" w:color="53C2E5" w:themeColor="accent2" w:sz="4" w:space="0"/>
        <w:right w:val="single" w:color="53C2E5" w:themeColor="accent2" w:sz="4" w:space="0"/>
        <w:insideH w:val="single" w:color="FFFFFF" w:themeColor="background1" w:sz="4" w:space="0"/>
        <w:insideV w:val="single" w:color="FFFFFF" w:themeColor="background1" w:sz="4" w:space="0"/>
      </w:tblBorders>
    </w:tblPr>
    <w:tcPr>
      <w:shd w:val="clear" w:color="auto" w:fill="EDF8FC" w:themeFill="accent2" w:themeFillTint="19"/>
    </w:tcPr>
    <w:tblStylePr w:type="firstRow">
      <w:rPr>
        <w:b/>
        <w:bCs/>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880A2" w:themeFill="accent2" w:themeFillShade="99"/>
      </w:tcPr>
    </w:tblStylePr>
    <w:tblStylePr w:type="firstCol">
      <w:rPr>
        <w:color w:val="FFFFFF" w:themeColor="background1"/>
      </w:rPr>
      <w:tblPr/>
      <w:tcPr>
        <w:tcBorders>
          <w:top w:val="nil"/>
          <w:left w:val="nil"/>
          <w:bottom w:val="nil"/>
          <w:right w:val="nil"/>
          <w:insideH w:val="single" w:color="1880A2" w:themeColor="accent2" w:themeShade="99" w:sz="4" w:space="0"/>
          <w:insideV w:val="nil"/>
        </w:tcBorders>
        <w:shd w:val="clear" w:color="auto" w:fill="1880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880A2" w:themeFill="accent2" w:themeFillShade="99"/>
      </w:tcPr>
    </w:tblStylePr>
    <w:tblStylePr w:type="band1Vert">
      <w:tblPr/>
      <w:tcPr>
        <w:shd w:val="clear" w:color="auto" w:fill="BAE6F4" w:themeFill="accent2" w:themeFillTint="66"/>
      </w:tcPr>
    </w:tblStylePr>
    <w:tblStylePr w:type="band1Horz">
      <w:tblPr/>
      <w:tcPr>
        <w:shd w:val="clear" w:color="auto" w:fill="A9E0F2" w:themeFill="accent2" w:themeFillTint="7F"/>
      </w:tcPr>
    </w:tblStylePr>
    <w:tblStylePr w:type="neCell">
      <w:rPr>
        <w:color w:val="303030" w:themeColor="text1"/>
      </w:rPr>
    </w:tblStylePr>
    <w:tblStylePr w:type="nwCell">
      <w:rPr>
        <w:color w:val="303030" w:themeColor="text1"/>
      </w:rPr>
    </w:tblStylePr>
  </w:style>
  <w:style w:type="table" w:styleId="ColorfulShading-Accent3">
    <w:name w:val="Colorful Shading Accent 3"/>
    <w:basedOn w:val="TableNormal"/>
    <w:uiPriority w:val="71"/>
    <w:semiHidden/>
    <w:rsid w:val="00F238C5"/>
    <w:rPr>
      <w:color w:val="303030" w:themeColor="text1"/>
    </w:rPr>
    <w:tblPr>
      <w:tblStyleRowBandSize w:val="1"/>
      <w:tblStyleColBandSize w:val="1"/>
      <w:tblBorders>
        <w:top w:val="single" w:color="EAA4EA" w:themeColor="accent4" w:sz="24" w:space="0"/>
        <w:left w:val="single" w:color="8996F4" w:themeColor="accent3" w:sz="4" w:space="0"/>
        <w:bottom w:val="single" w:color="8996F4" w:themeColor="accent3" w:sz="4" w:space="0"/>
        <w:right w:val="single" w:color="8996F4" w:themeColor="accent3" w:sz="4" w:space="0"/>
        <w:insideH w:val="single" w:color="FFFFFF" w:themeColor="background1" w:sz="4" w:space="0"/>
        <w:insideV w:val="single" w:color="FFFFFF" w:themeColor="background1" w:sz="4" w:space="0"/>
      </w:tblBorders>
    </w:tblPr>
    <w:tcPr>
      <w:shd w:val="clear" w:color="auto" w:fill="F3F4FE" w:themeFill="accent3" w:themeFillTint="19"/>
    </w:tcPr>
    <w:tblStylePr w:type="firstRow">
      <w:rPr>
        <w:b/>
        <w:bCs/>
      </w:rPr>
      <w:tblPr/>
      <w:tcPr>
        <w:tcBorders>
          <w:top w:val="nil"/>
          <w:left w:val="nil"/>
          <w:bottom w:val="single" w:color="EAA4E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9D0" w:themeFill="accent3" w:themeFillShade="99"/>
      </w:tcPr>
    </w:tblStylePr>
    <w:tblStylePr w:type="firstCol">
      <w:rPr>
        <w:color w:val="FFFFFF" w:themeColor="background1"/>
      </w:rPr>
      <w:tblPr/>
      <w:tcPr>
        <w:tcBorders>
          <w:top w:val="nil"/>
          <w:left w:val="nil"/>
          <w:bottom w:val="nil"/>
          <w:right w:val="nil"/>
          <w:insideH w:val="single" w:color="1329D0" w:themeColor="accent3" w:themeShade="99" w:sz="4" w:space="0"/>
          <w:insideV w:val="nil"/>
        </w:tcBorders>
        <w:shd w:val="clear" w:color="auto" w:fill="1329D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329D0" w:themeFill="accent3" w:themeFillShade="99"/>
      </w:tcPr>
    </w:tblStylePr>
    <w:tblStylePr w:type="band1Vert">
      <w:tblPr/>
      <w:tcPr>
        <w:shd w:val="clear" w:color="auto" w:fill="CFD4FA" w:themeFill="accent3" w:themeFillTint="66"/>
      </w:tcPr>
    </w:tblStylePr>
    <w:tblStylePr w:type="band1Horz">
      <w:tblPr/>
      <w:tcPr>
        <w:shd w:val="clear" w:color="auto" w:fill="C4CAF9" w:themeFill="accent3" w:themeFillTint="7F"/>
      </w:tcPr>
    </w:tblStylePr>
  </w:style>
  <w:style w:type="table" w:styleId="ColorfulShading-Accent4">
    <w:name w:val="Colorful Shading Accent 4"/>
    <w:basedOn w:val="TableNormal"/>
    <w:uiPriority w:val="71"/>
    <w:semiHidden/>
    <w:rsid w:val="00F238C5"/>
    <w:rPr>
      <w:color w:val="303030" w:themeColor="text1"/>
    </w:rPr>
    <w:tblPr>
      <w:tblStyleRowBandSize w:val="1"/>
      <w:tblStyleColBandSize w:val="1"/>
      <w:tblBorders>
        <w:top w:val="single" w:color="8996F4" w:themeColor="accent3" w:sz="24" w:space="0"/>
        <w:left w:val="single" w:color="EAA4EA" w:themeColor="accent4" w:sz="4" w:space="0"/>
        <w:bottom w:val="single" w:color="EAA4EA" w:themeColor="accent4" w:sz="4" w:space="0"/>
        <w:right w:val="single" w:color="EAA4EA" w:themeColor="accent4" w:sz="4" w:space="0"/>
        <w:insideH w:val="single" w:color="FFFFFF" w:themeColor="background1" w:sz="4" w:space="0"/>
        <w:insideV w:val="single" w:color="FFFFFF" w:themeColor="background1" w:sz="4" w:space="0"/>
      </w:tblBorders>
    </w:tblPr>
    <w:tcPr>
      <w:shd w:val="clear" w:color="auto" w:fill="FDF6FD" w:themeFill="accent4" w:themeFillTint="19"/>
    </w:tcPr>
    <w:tblStylePr w:type="firstRow">
      <w:rPr>
        <w:b/>
        <w:bCs/>
      </w:rPr>
      <w:tblPr/>
      <w:tcPr>
        <w:tcBorders>
          <w:top w:val="nil"/>
          <w:left w:val="nil"/>
          <w:bottom w:val="single" w:color="8996F4"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C12CC1" w:themeFill="accent4" w:themeFillShade="99"/>
      </w:tcPr>
    </w:tblStylePr>
    <w:tblStylePr w:type="firstCol">
      <w:rPr>
        <w:color w:val="FFFFFF" w:themeColor="background1"/>
      </w:rPr>
      <w:tblPr/>
      <w:tcPr>
        <w:tcBorders>
          <w:top w:val="nil"/>
          <w:left w:val="nil"/>
          <w:bottom w:val="nil"/>
          <w:right w:val="nil"/>
          <w:insideH w:val="single" w:color="C12CC1" w:themeColor="accent4" w:themeShade="99" w:sz="4" w:space="0"/>
          <w:insideV w:val="nil"/>
        </w:tcBorders>
        <w:shd w:val="clear" w:color="auto" w:fill="C12CC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12CC1" w:themeFill="accent4" w:themeFillShade="99"/>
      </w:tcPr>
    </w:tblStylePr>
    <w:tblStylePr w:type="band1Vert">
      <w:tblPr/>
      <w:tcPr>
        <w:shd w:val="clear" w:color="auto" w:fill="F6DAF6" w:themeFill="accent4" w:themeFillTint="66"/>
      </w:tcPr>
    </w:tblStylePr>
    <w:tblStylePr w:type="band1Horz">
      <w:tblPr/>
      <w:tcPr>
        <w:shd w:val="clear" w:color="auto" w:fill="F4D1F4" w:themeFill="accent4" w:themeFillTint="7F"/>
      </w:tcPr>
    </w:tblStylePr>
    <w:tblStylePr w:type="neCell">
      <w:rPr>
        <w:color w:val="303030" w:themeColor="text1"/>
      </w:rPr>
    </w:tblStylePr>
    <w:tblStylePr w:type="nwCell">
      <w:rPr>
        <w:color w:val="303030" w:themeColor="text1"/>
      </w:rPr>
    </w:tblStylePr>
  </w:style>
  <w:style w:type="table" w:styleId="ColorfulShading-Accent5">
    <w:name w:val="Colorful Shading Accent 5"/>
    <w:basedOn w:val="TableNormal"/>
    <w:uiPriority w:val="71"/>
    <w:semiHidden/>
    <w:rsid w:val="00F238C5"/>
    <w:rPr>
      <w:color w:val="303030" w:themeColor="text1"/>
    </w:rPr>
    <w:tblPr>
      <w:tblStyleRowBandSize w:val="1"/>
      <w:tblStyleColBandSize w:val="1"/>
      <w:tblBorders>
        <w:top w:val="single" w:color="B7EFD7" w:themeColor="accent6" w:sz="24" w:space="0"/>
        <w:left w:val="single" w:color="FD969C" w:themeColor="accent5" w:sz="4" w:space="0"/>
        <w:bottom w:val="single" w:color="FD969C" w:themeColor="accent5" w:sz="4" w:space="0"/>
        <w:right w:val="single" w:color="FD969C" w:themeColor="accent5" w:sz="4" w:space="0"/>
        <w:insideH w:val="single" w:color="FFFFFF" w:themeColor="background1" w:sz="4" w:space="0"/>
        <w:insideV w:val="single" w:color="FFFFFF" w:themeColor="background1" w:sz="4" w:space="0"/>
      </w:tblBorders>
    </w:tblPr>
    <w:tcPr>
      <w:shd w:val="clear" w:color="auto" w:fill="FEF4F5" w:themeFill="accent5" w:themeFillTint="19"/>
    </w:tcPr>
    <w:tblStylePr w:type="firstRow">
      <w:rPr>
        <w:b/>
        <w:bCs/>
      </w:rPr>
      <w:tblPr/>
      <w:tcPr>
        <w:tcBorders>
          <w:top w:val="nil"/>
          <w:left w:val="nil"/>
          <w:bottom w:val="single" w:color="B7EFD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ED0411" w:themeFill="accent5" w:themeFillShade="99"/>
      </w:tcPr>
    </w:tblStylePr>
    <w:tblStylePr w:type="firstCol">
      <w:rPr>
        <w:color w:val="FFFFFF" w:themeColor="background1"/>
      </w:rPr>
      <w:tblPr/>
      <w:tcPr>
        <w:tcBorders>
          <w:top w:val="nil"/>
          <w:left w:val="nil"/>
          <w:bottom w:val="nil"/>
          <w:right w:val="nil"/>
          <w:insideH w:val="single" w:color="ED0411" w:themeColor="accent5" w:themeShade="99" w:sz="4" w:space="0"/>
          <w:insideV w:val="nil"/>
        </w:tcBorders>
        <w:shd w:val="clear" w:color="auto" w:fill="ED041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D0411" w:themeFill="accent5" w:themeFillShade="99"/>
      </w:tcPr>
    </w:tblStylePr>
    <w:tblStylePr w:type="band1Vert">
      <w:tblPr/>
      <w:tcPr>
        <w:shd w:val="clear" w:color="auto" w:fill="FED4D6" w:themeFill="accent5" w:themeFillTint="66"/>
      </w:tcPr>
    </w:tblStylePr>
    <w:tblStylePr w:type="band1Horz">
      <w:tblPr/>
      <w:tcPr>
        <w:shd w:val="clear" w:color="auto" w:fill="FECACD" w:themeFill="accent5" w:themeFillTint="7F"/>
      </w:tcPr>
    </w:tblStylePr>
    <w:tblStylePr w:type="neCell">
      <w:rPr>
        <w:color w:val="303030" w:themeColor="text1"/>
      </w:rPr>
    </w:tblStylePr>
    <w:tblStylePr w:type="nwCell">
      <w:rPr>
        <w:color w:val="303030" w:themeColor="text1"/>
      </w:rPr>
    </w:tblStylePr>
  </w:style>
  <w:style w:type="table" w:styleId="ColorfulShading-Accent6">
    <w:name w:val="Colorful Shading Accent 6"/>
    <w:basedOn w:val="TableNormal"/>
    <w:uiPriority w:val="71"/>
    <w:semiHidden/>
    <w:rsid w:val="00F238C5"/>
    <w:rPr>
      <w:color w:val="303030" w:themeColor="text1"/>
    </w:rPr>
    <w:tblPr>
      <w:tblStyleRowBandSize w:val="1"/>
      <w:tblStyleColBandSize w:val="1"/>
      <w:tblBorders>
        <w:top w:val="single" w:color="FD969C" w:themeColor="accent5" w:sz="24" w:space="0"/>
        <w:left w:val="single" w:color="B7EFD7" w:themeColor="accent6" w:sz="4" w:space="0"/>
        <w:bottom w:val="single" w:color="B7EFD7" w:themeColor="accent6" w:sz="4" w:space="0"/>
        <w:right w:val="single" w:color="B7EFD7" w:themeColor="accent6" w:sz="4" w:space="0"/>
        <w:insideH w:val="single" w:color="FFFFFF" w:themeColor="background1" w:sz="4" w:space="0"/>
        <w:insideV w:val="single" w:color="FFFFFF" w:themeColor="background1" w:sz="4" w:space="0"/>
      </w:tblBorders>
    </w:tblPr>
    <w:tcPr>
      <w:shd w:val="clear" w:color="auto" w:fill="F7FDFB" w:themeFill="accent6" w:themeFillTint="19"/>
    </w:tcPr>
    <w:tblStylePr w:type="firstRow">
      <w:rPr>
        <w:b/>
        <w:bCs/>
      </w:rPr>
      <w:tblPr/>
      <w:tcPr>
        <w:tcBorders>
          <w:top w:val="nil"/>
          <w:left w:val="nil"/>
          <w:bottom w:val="single" w:color="FD969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CE89" w:themeFill="accent6" w:themeFillShade="99"/>
      </w:tcPr>
    </w:tblStylePr>
    <w:tblStylePr w:type="firstCol">
      <w:rPr>
        <w:color w:val="FFFFFF" w:themeColor="background1"/>
      </w:rPr>
      <w:tblPr/>
      <w:tcPr>
        <w:tcBorders>
          <w:top w:val="nil"/>
          <w:left w:val="nil"/>
          <w:bottom w:val="nil"/>
          <w:right w:val="nil"/>
          <w:insideH w:val="single" w:color="2ECE89" w:themeColor="accent6" w:themeShade="99" w:sz="4" w:space="0"/>
          <w:insideV w:val="nil"/>
        </w:tcBorders>
        <w:shd w:val="clear" w:color="auto" w:fill="2ECE8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CE89" w:themeFill="accent6" w:themeFillShade="99"/>
      </w:tcPr>
    </w:tblStylePr>
    <w:tblStylePr w:type="band1Vert">
      <w:tblPr/>
      <w:tcPr>
        <w:shd w:val="clear" w:color="auto" w:fill="E2F8EE" w:themeFill="accent6" w:themeFillTint="66"/>
      </w:tcPr>
    </w:tblStylePr>
    <w:tblStylePr w:type="band1Horz">
      <w:tblPr/>
      <w:tcPr>
        <w:shd w:val="clear" w:color="auto" w:fill="DBF7EA" w:themeFill="accent6" w:themeFillTint="7F"/>
      </w:tcPr>
    </w:tblStylePr>
    <w:tblStylePr w:type="neCell">
      <w:rPr>
        <w:color w:val="303030" w:themeColor="text1"/>
      </w:rPr>
    </w:tblStylePr>
    <w:tblStylePr w:type="nwCell">
      <w:rPr>
        <w:color w:val="303030" w:themeColor="text1"/>
      </w:rPr>
    </w:tblStylePr>
  </w:style>
  <w:style w:type="character" w:styleId="CommentReference">
    <w:name w:val="annotation reference"/>
    <w:basedOn w:val="DefaultParagraphFont"/>
    <w:uiPriority w:val="59"/>
    <w:semiHidden/>
    <w:rsid w:val="00F238C5"/>
    <w:rPr>
      <w:sz w:val="16"/>
      <w:szCs w:val="16"/>
    </w:rPr>
  </w:style>
  <w:style w:type="paragraph" w:styleId="CommentSubject">
    <w:name w:val="annotation subject"/>
    <w:basedOn w:val="CommentText"/>
    <w:next w:val="CommentText"/>
    <w:link w:val="CommentSubjectChar"/>
    <w:uiPriority w:val="99"/>
    <w:semiHidden/>
    <w:rsid w:val="00F238C5"/>
    <w:rPr>
      <w:b/>
      <w:bCs/>
    </w:rPr>
  </w:style>
  <w:style w:type="character" w:styleId="CommentSubjectChar" w:customStyle="1">
    <w:name w:val="Comment Subject Char"/>
    <w:basedOn w:val="CommentTextChar"/>
    <w:link w:val="CommentSubject"/>
    <w:uiPriority w:val="99"/>
    <w:semiHidden/>
    <w:rsid w:val="00F238C5"/>
    <w:rPr>
      <w:rFonts w:eastAsiaTheme="minorHAnsi" w:cstheme="minorBidi"/>
      <w:b/>
      <w:bCs/>
      <w:sz w:val="20"/>
      <w:szCs w:val="20"/>
      <w:lang w:eastAsia="en-US"/>
    </w:rPr>
  </w:style>
  <w:style w:type="table" w:styleId="DarkList">
    <w:name w:val="Dark List"/>
    <w:basedOn w:val="TableNormal"/>
    <w:uiPriority w:val="70"/>
    <w:semiHidden/>
    <w:rsid w:val="00F238C5"/>
    <w:rPr>
      <w:color w:val="FFFFFF" w:themeColor="background1"/>
    </w:rPr>
    <w:tblPr>
      <w:tblStyleRowBandSize w:val="1"/>
      <w:tblStyleColBandSize w:val="1"/>
    </w:tblPr>
    <w:tcPr>
      <w:shd w:val="clear" w:color="auto" w:fill="303030" w:themeFill="text1"/>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171717"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232323"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232323" w:themeFill="text1" w:themeFillShade="BF"/>
      </w:tcPr>
    </w:tblStylePr>
    <w:tblStylePr w:type="band1Vert">
      <w:tblPr/>
      <w:tcPr>
        <w:tcBorders>
          <w:top w:val="nil"/>
          <w:left w:val="nil"/>
          <w:bottom w:val="nil"/>
          <w:right w:val="nil"/>
          <w:insideH w:val="nil"/>
          <w:insideV w:val="nil"/>
        </w:tcBorders>
        <w:shd w:val="clear" w:color="auto" w:fill="232323" w:themeFill="text1" w:themeFillShade="BF"/>
      </w:tcPr>
    </w:tblStylePr>
    <w:tblStylePr w:type="band1Horz">
      <w:tblPr/>
      <w:tcPr>
        <w:tcBorders>
          <w:top w:val="nil"/>
          <w:left w:val="nil"/>
          <w:bottom w:val="nil"/>
          <w:right w:val="nil"/>
          <w:insideH w:val="nil"/>
          <w:insideV w:val="nil"/>
        </w:tcBorders>
        <w:shd w:val="clear" w:color="auto" w:fill="232323" w:themeFill="text1" w:themeFillShade="BF"/>
      </w:tcPr>
    </w:tblStylePr>
  </w:style>
  <w:style w:type="table" w:styleId="DarkList-Accent1">
    <w:name w:val="Dark List Accent 1"/>
    <w:basedOn w:val="TableNormal"/>
    <w:uiPriority w:val="70"/>
    <w:semiHidden/>
    <w:rsid w:val="00F238C5"/>
    <w:rPr>
      <w:color w:val="FFFFFF" w:themeColor="background1"/>
    </w:rPr>
    <w:tblPr>
      <w:tblStyleRowBandSize w:val="1"/>
      <w:tblStyleColBandSize w:val="1"/>
    </w:tblPr>
    <w:tcPr>
      <w:shd w:val="clear" w:color="auto" w:fill="88E5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209562"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CD493"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CD493" w:themeFill="accent1" w:themeFillShade="BF"/>
      </w:tcPr>
    </w:tblStylePr>
    <w:tblStylePr w:type="band1Vert">
      <w:tblPr/>
      <w:tcPr>
        <w:tcBorders>
          <w:top w:val="nil"/>
          <w:left w:val="nil"/>
          <w:bottom w:val="nil"/>
          <w:right w:val="nil"/>
          <w:insideH w:val="nil"/>
          <w:insideV w:val="nil"/>
        </w:tcBorders>
        <w:shd w:val="clear" w:color="auto" w:fill="3CD493" w:themeFill="accent1" w:themeFillShade="BF"/>
      </w:tcPr>
    </w:tblStylePr>
    <w:tblStylePr w:type="band1Horz">
      <w:tblPr/>
      <w:tcPr>
        <w:tcBorders>
          <w:top w:val="nil"/>
          <w:left w:val="nil"/>
          <w:bottom w:val="nil"/>
          <w:right w:val="nil"/>
          <w:insideH w:val="nil"/>
          <w:insideV w:val="nil"/>
        </w:tcBorders>
        <w:shd w:val="clear" w:color="auto" w:fill="3CD493" w:themeFill="accent1" w:themeFillShade="BF"/>
      </w:tcPr>
    </w:tblStylePr>
  </w:style>
  <w:style w:type="table" w:styleId="DarkList-Accent2">
    <w:name w:val="Dark List Accent 2"/>
    <w:basedOn w:val="TableNormal"/>
    <w:uiPriority w:val="70"/>
    <w:semiHidden/>
    <w:rsid w:val="00F238C5"/>
    <w:rPr>
      <w:color w:val="FFFFFF" w:themeColor="background1"/>
    </w:rPr>
    <w:tblPr>
      <w:tblStyleRowBandSize w:val="1"/>
      <w:tblStyleColBandSize w:val="1"/>
    </w:tblPr>
    <w:tcPr>
      <w:shd w:val="clear" w:color="auto" w:fill="53C2E5"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146B8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EA1C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EA1CA" w:themeFill="accent2" w:themeFillShade="BF"/>
      </w:tcPr>
    </w:tblStylePr>
    <w:tblStylePr w:type="band1Vert">
      <w:tblPr/>
      <w:tcPr>
        <w:tcBorders>
          <w:top w:val="nil"/>
          <w:left w:val="nil"/>
          <w:bottom w:val="nil"/>
          <w:right w:val="nil"/>
          <w:insideH w:val="nil"/>
          <w:insideV w:val="nil"/>
        </w:tcBorders>
        <w:shd w:val="clear" w:color="auto" w:fill="1EA1CA" w:themeFill="accent2" w:themeFillShade="BF"/>
      </w:tcPr>
    </w:tblStylePr>
    <w:tblStylePr w:type="band1Horz">
      <w:tblPr/>
      <w:tcPr>
        <w:tcBorders>
          <w:top w:val="nil"/>
          <w:left w:val="nil"/>
          <w:bottom w:val="nil"/>
          <w:right w:val="nil"/>
          <w:insideH w:val="nil"/>
          <w:insideV w:val="nil"/>
        </w:tcBorders>
        <w:shd w:val="clear" w:color="auto" w:fill="1EA1CA" w:themeFill="accent2" w:themeFillShade="BF"/>
      </w:tcPr>
    </w:tblStylePr>
  </w:style>
  <w:style w:type="table" w:styleId="DarkList-Accent3">
    <w:name w:val="Dark List Accent 3"/>
    <w:basedOn w:val="TableNormal"/>
    <w:uiPriority w:val="70"/>
    <w:semiHidden/>
    <w:rsid w:val="00F238C5"/>
    <w:rPr>
      <w:color w:val="FFFFFF" w:themeColor="background1"/>
    </w:rPr>
    <w:tblPr>
      <w:tblStyleRowBandSize w:val="1"/>
      <w:tblStyleColBandSize w:val="1"/>
    </w:tblPr>
    <w:tcPr>
      <w:shd w:val="clear" w:color="auto" w:fill="8996F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1022AD"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147E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147EC" w:themeFill="accent3" w:themeFillShade="BF"/>
      </w:tcPr>
    </w:tblStylePr>
    <w:tblStylePr w:type="band1Vert">
      <w:tblPr/>
      <w:tcPr>
        <w:tcBorders>
          <w:top w:val="nil"/>
          <w:left w:val="nil"/>
          <w:bottom w:val="nil"/>
          <w:right w:val="nil"/>
          <w:insideH w:val="nil"/>
          <w:insideV w:val="nil"/>
        </w:tcBorders>
        <w:shd w:val="clear" w:color="auto" w:fill="3147EC" w:themeFill="accent3" w:themeFillShade="BF"/>
      </w:tcPr>
    </w:tblStylePr>
    <w:tblStylePr w:type="band1Horz">
      <w:tblPr/>
      <w:tcPr>
        <w:tcBorders>
          <w:top w:val="nil"/>
          <w:left w:val="nil"/>
          <w:bottom w:val="nil"/>
          <w:right w:val="nil"/>
          <w:insideH w:val="nil"/>
          <w:insideV w:val="nil"/>
        </w:tcBorders>
        <w:shd w:val="clear" w:color="auto" w:fill="3147EC" w:themeFill="accent3" w:themeFillShade="BF"/>
      </w:tcPr>
    </w:tblStylePr>
  </w:style>
  <w:style w:type="table" w:styleId="DarkList-Accent4">
    <w:name w:val="Dark List Accent 4"/>
    <w:basedOn w:val="TableNormal"/>
    <w:uiPriority w:val="70"/>
    <w:semiHidden/>
    <w:rsid w:val="00F238C5"/>
    <w:rPr>
      <w:color w:val="FFFFFF" w:themeColor="background1"/>
    </w:rPr>
    <w:tblPr>
      <w:tblStyleRowBandSize w:val="1"/>
      <w:tblStyleColBandSize w:val="1"/>
    </w:tblPr>
    <w:tcPr>
      <w:shd w:val="clear" w:color="auto" w:fill="EAA4EA"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A025A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752D7"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752D7" w:themeFill="accent4" w:themeFillShade="BF"/>
      </w:tcPr>
    </w:tblStylePr>
    <w:tblStylePr w:type="band1Vert">
      <w:tblPr/>
      <w:tcPr>
        <w:tcBorders>
          <w:top w:val="nil"/>
          <w:left w:val="nil"/>
          <w:bottom w:val="nil"/>
          <w:right w:val="nil"/>
          <w:insideH w:val="nil"/>
          <w:insideV w:val="nil"/>
        </w:tcBorders>
        <w:shd w:val="clear" w:color="auto" w:fill="D752D7" w:themeFill="accent4" w:themeFillShade="BF"/>
      </w:tcPr>
    </w:tblStylePr>
    <w:tblStylePr w:type="band1Horz">
      <w:tblPr/>
      <w:tcPr>
        <w:tcBorders>
          <w:top w:val="nil"/>
          <w:left w:val="nil"/>
          <w:bottom w:val="nil"/>
          <w:right w:val="nil"/>
          <w:insideH w:val="nil"/>
          <w:insideV w:val="nil"/>
        </w:tcBorders>
        <w:shd w:val="clear" w:color="auto" w:fill="D752D7" w:themeFill="accent4" w:themeFillShade="BF"/>
      </w:tcPr>
    </w:tblStylePr>
  </w:style>
  <w:style w:type="table" w:styleId="DarkList-Accent5">
    <w:name w:val="Dark List Accent 5"/>
    <w:basedOn w:val="TableNormal"/>
    <w:uiPriority w:val="70"/>
    <w:semiHidden/>
    <w:rsid w:val="00F238C5"/>
    <w:rPr>
      <w:color w:val="FFFFFF" w:themeColor="background1"/>
    </w:rPr>
    <w:tblPr>
      <w:tblStyleRowBandSize w:val="1"/>
      <w:tblStyleColBandSize w:val="1"/>
    </w:tblPr>
    <w:tcPr>
      <w:shd w:val="clear" w:color="auto" w:fill="FD969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C4030E"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FB323D"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FB323D" w:themeFill="accent5" w:themeFillShade="BF"/>
      </w:tcPr>
    </w:tblStylePr>
    <w:tblStylePr w:type="band1Vert">
      <w:tblPr/>
      <w:tcPr>
        <w:tcBorders>
          <w:top w:val="nil"/>
          <w:left w:val="nil"/>
          <w:bottom w:val="nil"/>
          <w:right w:val="nil"/>
          <w:insideH w:val="nil"/>
          <w:insideV w:val="nil"/>
        </w:tcBorders>
        <w:shd w:val="clear" w:color="auto" w:fill="FB323D" w:themeFill="accent5" w:themeFillShade="BF"/>
      </w:tcPr>
    </w:tblStylePr>
    <w:tblStylePr w:type="band1Horz">
      <w:tblPr/>
      <w:tcPr>
        <w:tcBorders>
          <w:top w:val="nil"/>
          <w:left w:val="nil"/>
          <w:bottom w:val="nil"/>
          <w:right w:val="nil"/>
          <w:insideH w:val="nil"/>
          <w:insideV w:val="nil"/>
        </w:tcBorders>
        <w:shd w:val="clear" w:color="auto" w:fill="FB323D" w:themeFill="accent5" w:themeFillShade="BF"/>
      </w:tcPr>
    </w:tblStylePr>
  </w:style>
  <w:style w:type="table" w:styleId="DarkList-Accent6">
    <w:name w:val="Dark List Accent 6"/>
    <w:basedOn w:val="TableNormal"/>
    <w:uiPriority w:val="70"/>
    <w:semiHidden/>
    <w:rsid w:val="00F238C5"/>
    <w:rPr>
      <w:color w:val="FFFFFF" w:themeColor="background1"/>
    </w:rPr>
    <w:tblPr>
      <w:tblStyleRowBandSize w:val="1"/>
      <w:tblStyleColBandSize w:val="1"/>
    </w:tblPr>
    <w:tcPr>
      <w:shd w:val="clear" w:color="auto" w:fill="B7EFD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26AB72"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0DBA6"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0DBA6" w:themeFill="accent6" w:themeFillShade="BF"/>
      </w:tcPr>
    </w:tblStylePr>
    <w:tblStylePr w:type="band1Vert">
      <w:tblPr/>
      <w:tcPr>
        <w:tcBorders>
          <w:top w:val="nil"/>
          <w:left w:val="nil"/>
          <w:bottom w:val="nil"/>
          <w:right w:val="nil"/>
          <w:insideH w:val="nil"/>
          <w:insideV w:val="nil"/>
        </w:tcBorders>
        <w:shd w:val="clear" w:color="auto" w:fill="60DBA6" w:themeFill="accent6" w:themeFillShade="BF"/>
      </w:tcPr>
    </w:tblStylePr>
    <w:tblStylePr w:type="band1Horz">
      <w:tblPr/>
      <w:tcPr>
        <w:tcBorders>
          <w:top w:val="nil"/>
          <w:left w:val="nil"/>
          <w:bottom w:val="nil"/>
          <w:right w:val="nil"/>
          <w:insideH w:val="nil"/>
          <w:insideV w:val="nil"/>
        </w:tcBorders>
        <w:shd w:val="clear" w:color="auto" w:fill="60DBA6" w:themeFill="accent6" w:themeFillShade="BF"/>
      </w:tcPr>
    </w:tblStylePr>
  </w:style>
  <w:style w:type="paragraph" w:styleId="Date">
    <w:name w:val="Date"/>
    <w:basedOn w:val="Normal"/>
    <w:next w:val="Normal"/>
    <w:link w:val="DateChar"/>
    <w:uiPriority w:val="99"/>
    <w:semiHidden/>
    <w:rsid w:val="00F238C5"/>
  </w:style>
  <w:style w:type="character" w:styleId="DateChar" w:customStyle="1">
    <w:name w:val="Date Char"/>
    <w:basedOn w:val="DefaultParagraphFont"/>
    <w:link w:val="Date"/>
    <w:uiPriority w:val="99"/>
    <w:semiHidden/>
    <w:rsid w:val="00F238C5"/>
    <w:rPr>
      <w:rFonts w:eastAsiaTheme="minorHAnsi" w:cstheme="minorBidi"/>
      <w:lang w:eastAsia="en-US"/>
    </w:rPr>
  </w:style>
  <w:style w:type="paragraph" w:styleId="DocumentMap">
    <w:name w:val="Document Map"/>
    <w:basedOn w:val="Normal"/>
    <w:link w:val="DocumentMapChar"/>
    <w:uiPriority w:val="99"/>
    <w:semiHidden/>
    <w:rsid w:val="00F238C5"/>
    <w:rPr>
      <w:rFonts w:ascii="Segoe UI" w:hAnsi="Segoe UI" w:cs="Segoe UI"/>
      <w:sz w:val="16"/>
      <w:szCs w:val="16"/>
    </w:rPr>
  </w:style>
  <w:style w:type="character" w:styleId="DocumentMapChar" w:customStyle="1">
    <w:name w:val="Document Map Char"/>
    <w:basedOn w:val="DefaultParagraphFont"/>
    <w:link w:val="DocumentMap"/>
    <w:uiPriority w:val="99"/>
    <w:semiHidden/>
    <w:rsid w:val="00F238C5"/>
    <w:rPr>
      <w:rFonts w:ascii="Segoe UI" w:hAnsi="Segoe UI" w:cs="Segoe UI" w:eastAsiaTheme="minorHAnsi"/>
      <w:sz w:val="16"/>
      <w:szCs w:val="16"/>
      <w:lang w:eastAsia="en-US"/>
    </w:rPr>
  </w:style>
  <w:style w:type="paragraph" w:styleId="E-mailSignature">
    <w:name w:val="E-mail Signature"/>
    <w:basedOn w:val="Normal"/>
    <w:link w:val="E-mailSignatureChar"/>
    <w:uiPriority w:val="99"/>
    <w:semiHidden/>
    <w:rsid w:val="00F238C5"/>
  </w:style>
  <w:style w:type="character" w:styleId="E-mailSignatureChar" w:customStyle="1">
    <w:name w:val="E-mail Signature Char"/>
    <w:basedOn w:val="DefaultParagraphFont"/>
    <w:link w:val="E-mailSignature"/>
    <w:uiPriority w:val="99"/>
    <w:semiHidden/>
    <w:rsid w:val="00F238C5"/>
    <w:rPr>
      <w:rFonts w:eastAsiaTheme="minorHAnsi" w:cstheme="minorBidi"/>
      <w:lang w:eastAsia="en-US"/>
    </w:rPr>
  </w:style>
  <w:style w:type="character" w:styleId="Emphasis">
    <w:name w:val="Emphasis"/>
    <w:basedOn w:val="DefaultParagraphFont"/>
    <w:uiPriority w:val="59"/>
    <w:semiHidden/>
    <w:qFormat/>
    <w:rsid w:val="00F238C5"/>
    <w:rPr>
      <w:i/>
      <w:iCs/>
    </w:rPr>
  </w:style>
  <w:style w:type="character" w:styleId="EndnoteReference">
    <w:name w:val="endnote reference"/>
    <w:basedOn w:val="DefaultParagraphFont"/>
    <w:uiPriority w:val="99"/>
    <w:semiHidden/>
    <w:rsid w:val="00F238C5"/>
    <w:rPr>
      <w:vertAlign w:val="superscript"/>
    </w:rPr>
  </w:style>
  <w:style w:type="paragraph" w:styleId="EnvelopeAddress">
    <w:name w:val="envelope address"/>
    <w:basedOn w:val="Normal"/>
    <w:uiPriority w:val="99"/>
    <w:semiHidden/>
    <w:rsid w:val="00F238C5"/>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rsid w:val="00F238C5"/>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rsid w:val="00F238C5"/>
    <w:rPr>
      <w:color w:val="954F72" w:themeColor="followedHyperlink"/>
      <w:u w:val="single"/>
    </w:rPr>
  </w:style>
  <w:style w:type="table" w:styleId="GridTable1Light">
    <w:name w:val="Grid Table 1 Light"/>
    <w:basedOn w:val="TableNormal"/>
    <w:uiPriority w:val="46"/>
    <w:rsid w:val="00F238C5"/>
    <w:tblPr>
      <w:tblStyleRowBandSize w:val="1"/>
      <w:tblStyleColBandSize w:val="1"/>
      <w:tblBorders>
        <w:top w:val="single" w:color="ACACAC" w:themeColor="text1" w:themeTint="66" w:sz="4" w:space="0"/>
        <w:left w:val="single" w:color="ACACAC" w:themeColor="text1" w:themeTint="66" w:sz="4" w:space="0"/>
        <w:bottom w:val="single" w:color="ACACAC" w:themeColor="text1" w:themeTint="66" w:sz="4" w:space="0"/>
        <w:right w:val="single" w:color="ACACAC" w:themeColor="text1" w:themeTint="66" w:sz="4" w:space="0"/>
        <w:insideH w:val="single" w:color="ACACAC" w:themeColor="text1" w:themeTint="66" w:sz="4" w:space="0"/>
        <w:insideV w:val="single" w:color="ACACAC" w:themeColor="text1" w:themeTint="66" w:sz="4" w:space="0"/>
      </w:tblBorders>
    </w:tblPr>
    <w:tblStylePr w:type="firstRow">
      <w:rPr>
        <w:b/>
        <w:bCs/>
      </w:rPr>
      <w:tblPr/>
      <w:tcPr>
        <w:tcBorders>
          <w:bottom w:val="single" w:color="828282" w:themeColor="text1" w:themeTint="99" w:sz="12" w:space="0"/>
        </w:tcBorders>
      </w:tcPr>
    </w:tblStylePr>
    <w:tblStylePr w:type="lastRow">
      <w:rPr>
        <w:b/>
        <w:bCs/>
      </w:rPr>
      <w:tblPr/>
      <w:tcPr>
        <w:tcBorders>
          <w:top w:val="double" w:color="828282"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238C5"/>
    <w:tblPr>
      <w:tblStyleRowBandSize w:val="1"/>
      <w:tblStyleColBandSize w:val="1"/>
      <w:tblBorders>
        <w:top w:val="single" w:color="CFF4E4" w:themeColor="accent1" w:themeTint="66" w:sz="4" w:space="0"/>
        <w:left w:val="single" w:color="CFF4E4" w:themeColor="accent1" w:themeTint="66" w:sz="4" w:space="0"/>
        <w:bottom w:val="single" w:color="CFF4E4" w:themeColor="accent1" w:themeTint="66" w:sz="4" w:space="0"/>
        <w:right w:val="single" w:color="CFF4E4" w:themeColor="accent1" w:themeTint="66" w:sz="4" w:space="0"/>
        <w:insideH w:val="single" w:color="CFF4E4" w:themeColor="accent1" w:themeTint="66" w:sz="4" w:space="0"/>
        <w:insideV w:val="single" w:color="CFF4E4" w:themeColor="accent1" w:themeTint="66" w:sz="4" w:space="0"/>
      </w:tblBorders>
    </w:tblPr>
    <w:tblStylePr w:type="firstRow">
      <w:rPr>
        <w:b/>
        <w:bCs/>
      </w:rPr>
      <w:tblPr/>
      <w:tcPr>
        <w:tcBorders>
          <w:bottom w:val="single" w:color="B7EFD7" w:themeColor="accent1" w:themeTint="99" w:sz="12" w:space="0"/>
        </w:tcBorders>
      </w:tcPr>
    </w:tblStylePr>
    <w:tblStylePr w:type="lastRow">
      <w:rPr>
        <w:b/>
        <w:bCs/>
      </w:rPr>
      <w:tblPr/>
      <w:tcPr>
        <w:tcBorders>
          <w:top w:val="double" w:color="B7EFD7"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238C5"/>
    <w:tblPr>
      <w:tblStyleRowBandSize w:val="1"/>
      <w:tblStyleColBandSize w:val="1"/>
      <w:tblBorders>
        <w:top w:val="single" w:color="BAE6F4" w:themeColor="accent2" w:themeTint="66" w:sz="4" w:space="0"/>
        <w:left w:val="single" w:color="BAE6F4" w:themeColor="accent2" w:themeTint="66" w:sz="4" w:space="0"/>
        <w:bottom w:val="single" w:color="BAE6F4" w:themeColor="accent2" w:themeTint="66" w:sz="4" w:space="0"/>
        <w:right w:val="single" w:color="BAE6F4" w:themeColor="accent2" w:themeTint="66" w:sz="4" w:space="0"/>
        <w:insideH w:val="single" w:color="BAE6F4" w:themeColor="accent2" w:themeTint="66" w:sz="4" w:space="0"/>
        <w:insideV w:val="single" w:color="BAE6F4" w:themeColor="accent2" w:themeTint="66" w:sz="4" w:space="0"/>
      </w:tblBorders>
    </w:tblPr>
    <w:tblStylePr w:type="firstRow">
      <w:rPr>
        <w:b/>
        <w:bCs/>
      </w:rPr>
      <w:tblPr/>
      <w:tcPr>
        <w:tcBorders>
          <w:bottom w:val="single" w:color="97DAEF" w:themeColor="accent2" w:themeTint="99" w:sz="12" w:space="0"/>
        </w:tcBorders>
      </w:tcPr>
    </w:tblStylePr>
    <w:tblStylePr w:type="lastRow">
      <w:rPr>
        <w:b/>
        <w:bCs/>
      </w:rPr>
      <w:tblPr/>
      <w:tcPr>
        <w:tcBorders>
          <w:top w:val="double" w:color="97DAE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238C5"/>
    <w:tblPr>
      <w:tblStyleRowBandSize w:val="1"/>
      <w:tblStyleColBandSize w:val="1"/>
      <w:tblBorders>
        <w:top w:val="single" w:color="CFD4FA" w:themeColor="accent3" w:themeTint="66" w:sz="4" w:space="0"/>
        <w:left w:val="single" w:color="CFD4FA" w:themeColor="accent3" w:themeTint="66" w:sz="4" w:space="0"/>
        <w:bottom w:val="single" w:color="CFD4FA" w:themeColor="accent3" w:themeTint="66" w:sz="4" w:space="0"/>
        <w:right w:val="single" w:color="CFD4FA" w:themeColor="accent3" w:themeTint="66" w:sz="4" w:space="0"/>
        <w:insideH w:val="single" w:color="CFD4FA" w:themeColor="accent3" w:themeTint="66" w:sz="4" w:space="0"/>
        <w:insideV w:val="single" w:color="CFD4FA" w:themeColor="accent3" w:themeTint="66" w:sz="4" w:space="0"/>
      </w:tblBorders>
    </w:tblPr>
    <w:tblStylePr w:type="firstRow">
      <w:rPr>
        <w:b/>
        <w:bCs/>
      </w:rPr>
      <w:tblPr/>
      <w:tcPr>
        <w:tcBorders>
          <w:bottom w:val="single" w:color="B7BFF8" w:themeColor="accent3" w:themeTint="99" w:sz="12" w:space="0"/>
        </w:tcBorders>
      </w:tcPr>
    </w:tblStylePr>
    <w:tblStylePr w:type="lastRow">
      <w:rPr>
        <w:b/>
        <w:bCs/>
      </w:rPr>
      <w:tblPr/>
      <w:tcPr>
        <w:tcBorders>
          <w:top w:val="double" w:color="B7BFF8"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238C5"/>
    <w:tblPr>
      <w:tblStyleRowBandSize w:val="1"/>
      <w:tblStyleColBandSize w:val="1"/>
      <w:tblBorders>
        <w:top w:val="single" w:color="F6DAF6" w:themeColor="accent4" w:themeTint="66" w:sz="4" w:space="0"/>
        <w:left w:val="single" w:color="F6DAF6" w:themeColor="accent4" w:themeTint="66" w:sz="4" w:space="0"/>
        <w:bottom w:val="single" w:color="F6DAF6" w:themeColor="accent4" w:themeTint="66" w:sz="4" w:space="0"/>
        <w:right w:val="single" w:color="F6DAF6" w:themeColor="accent4" w:themeTint="66" w:sz="4" w:space="0"/>
        <w:insideH w:val="single" w:color="F6DAF6" w:themeColor="accent4" w:themeTint="66" w:sz="4" w:space="0"/>
        <w:insideV w:val="single" w:color="F6DAF6" w:themeColor="accent4" w:themeTint="66" w:sz="4" w:space="0"/>
      </w:tblBorders>
    </w:tblPr>
    <w:tblStylePr w:type="firstRow">
      <w:rPr>
        <w:b/>
        <w:bCs/>
      </w:rPr>
      <w:tblPr/>
      <w:tcPr>
        <w:tcBorders>
          <w:bottom w:val="single" w:color="F2C8F2" w:themeColor="accent4" w:themeTint="99" w:sz="12" w:space="0"/>
        </w:tcBorders>
      </w:tcPr>
    </w:tblStylePr>
    <w:tblStylePr w:type="lastRow">
      <w:rPr>
        <w:b/>
        <w:bCs/>
      </w:rPr>
      <w:tblPr/>
      <w:tcPr>
        <w:tcBorders>
          <w:top w:val="double" w:color="F2C8F2"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38C5"/>
    <w:tblPr>
      <w:tblStyleRowBandSize w:val="1"/>
      <w:tblStyleColBandSize w:val="1"/>
      <w:tblBorders>
        <w:top w:val="single" w:color="FED4D6" w:themeColor="accent5" w:themeTint="66" w:sz="4" w:space="0"/>
        <w:left w:val="single" w:color="FED4D6" w:themeColor="accent5" w:themeTint="66" w:sz="4" w:space="0"/>
        <w:bottom w:val="single" w:color="FED4D6" w:themeColor="accent5" w:themeTint="66" w:sz="4" w:space="0"/>
        <w:right w:val="single" w:color="FED4D6" w:themeColor="accent5" w:themeTint="66" w:sz="4" w:space="0"/>
        <w:insideH w:val="single" w:color="FED4D6" w:themeColor="accent5" w:themeTint="66" w:sz="4" w:space="0"/>
        <w:insideV w:val="single" w:color="FED4D6" w:themeColor="accent5" w:themeTint="66" w:sz="4" w:space="0"/>
      </w:tblBorders>
    </w:tblPr>
    <w:tblStylePr w:type="firstRow">
      <w:rPr>
        <w:b/>
        <w:bCs/>
      </w:rPr>
      <w:tblPr/>
      <w:tcPr>
        <w:tcBorders>
          <w:bottom w:val="single" w:color="FDBFC3" w:themeColor="accent5" w:themeTint="99" w:sz="12" w:space="0"/>
        </w:tcBorders>
      </w:tcPr>
    </w:tblStylePr>
    <w:tblStylePr w:type="lastRow">
      <w:rPr>
        <w:b/>
        <w:bCs/>
      </w:rPr>
      <w:tblPr/>
      <w:tcPr>
        <w:tcBorders>
          <w:top w:val="double" w:color="FDBFC3"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238C5"/>
    <w:tblPr>
      <w:tblStyleRowBandSize w:val="1"/>
      <w:tblStyleColBandSize w:val="1"/>
      <w:tblBorders>
        <w:top w:val="single" w:color="E2F8EE" w:themeColor="accent6" w:themeTint="66" w:sz="4" w:space="0"/>
        <w:left w:val="single" w:color="E2F8EE" w:themeColor="accent6" w:themeTint="66" w:sz="4" w:space="0"/>
        <w:bottom w:val="single" w:color="E2F8EE" w:themeColor="accent6" w:themeTint="66" w:sz="4" w:space="0"/>
        <w:right w:val="single" w:color="E2F8EE" w:themeColor="accent6" w:themeTint="66" w:sz="4" w:space="0"/>
        <w:insideH w:val="single" w:color="E2F8EE" w:themeColor="accent6" w:themeTint="66" w:sz="4" w:space="0"/>
        <w:insideV w:val="single" w:color="E2F8EE" w:themeColor="accent6" w:themeTint="66" w:sz="4" w:space="0"/>
      </w:tblBorders>
    </w:tblPr>
    <w:tblStylePr w:type="firstRow">
      <w:rPr>
        <w:b/>
        <w:bCs/>
      </w:rPr>
      <w:tblPr/>
      <w:tcPr>
        <w:tcBorders>
          <w:bottom w:val="single" w:color="D3F5E6" w:themeColor="accent6" w:themeTint="99" w:sz="12" w:space="0"/>
        </w:tcBorders>
      </w:tcPr>
    </w:tblStylePr>
    <w:tblStylePr w:type="lastRow">
      <w:rPr>
        <w:b/>
        <w:bCs/>
      </w:rPr>
      <w:tblPr/>
      <w:tcPr>
        <w:tcBorders>
          <w:top w:val="double" w:color="D3F5E6"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F238C5"/>
    <w:tblPr>
      <w:tblStyleRowBandSize w:val="1"/>
      <w:tblStyleColBandSize w:val="1"/>
      <w:tblBorders>
        <w:top w:val="single" w:color="828282" w:themeColor="text1" w:themeTint="99" w:sz="2" w:space="0"/>
        <w:bottom w:val="single" w:color="828282" w:themeColor="text1" w:themeTint="99" w:sz="2" w:space="0"/>
        <w:insideH w:val="single" w:color="828282" w:themeColor="text1" w:themeTint="99" w:sz="2" w:space="0"/>
        <w:insideV w:val="single" w:color="828282" w:themeColor="text1" w:themeTint="99" w:sz="2" w:space="0"/>
      </w:tblBorders>
    </w:tblPr>
    <w:tblStylePr w:type="firstRow">
      <w:rPr>
        <w:b/>
        <w:bCs/>
      </w:rPr>
      <w:tblPr/>
      <w:tcPr>
        <w:tcBorders>
          <w:top w:val="nil"/>
          <w:bottom w:val="single" w:color="828282" w:themeColor="text1" w:themeTint="99" w:sz="12" w:space="0"/>
          <w:insideH w:val="nil"/>
          <w:insideV w:val="nil"/>
        </w:tcBorders>
        <w:shd w:val="clear" w:color="auto" w:fill="FFFFFF" w:themeFill="background1"/>
      </w:tcPr>
    </w:tblStylePr>
    <w:tblStylePr w:type="lastRow">
      <w:rPr>
        <w:b/>
        <w:bCs/>
      </w:rPr>
      <w:tblPr/>
      <w:tcPr>
        <w:tcBorders>
          <w:top w:val="double" w:color="828282"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2-Accent1">
    <w:name w:val="Grid Table 2 Accent 1"/>
    <w:basedOn w:val="TableNormal"/>
    <w:uiPriority w:val="47"/>
    <w:rsid w:val="00F238C5"/>
    <w:tblPr>
      <w:tblStyleRowBandSize w:val="1"/>
      <w:tblStyleColBandSize w:val="1"/>
      <w:tblBorders>
        <w:top w:val="single" w:color="B7EFD7" w:themeColor="accent1" w:themeTint="99" w:sz="2" w:space="0"/>
        <w:bottom w:val="single" w:color="B7EFD7" w:themeColor="accent1" w:themeTint="99" w:sz="2" w:space="0"/>
        <w:insideH w:val="single" w:color="B7EFD7" w:themeColor="accent1" w:themeTint="99" w:sz="2" w:space="0"/>
        <w:insideV w:val="single" w:color="B7EFD7" w:themeColor="accent1" w:themeTint="99" w:sz="2" w:space="0"/>
      </w:tblBorders>
    </w:tblPr>
    <w:tblStylePr w:type="firstRow">
      <w:rPr>
        <w:b/>
        <w:bCs/>
      </w:rPr>
      <w:tblPr/>
      <w:tcPr>
        <w:tcBorders>
          <w:top w:val="nil"/>
          <w:bottom w:val="single" w:color="B7EFD7" w:themeColor="accent1" w:themeTint="99" w:sz="12" w:space="0"/>
          <w:insideH w:val="nil"/>
          <w:insideV w:val="nil"/>
        </w:tcBorders>
        <w:shd w:val="clear" w:color="auto" w:fill="FFFFFF" w:themeFill="background1"/>
      </w:tcPr>
    </w:tblStylePr>
    <w:tblStylePr w:type="lastRow">
      <w:rPr>
        <w:b/>
        <w:bCs/>
      </w:rPr>
      <w:tblPr/>
      <w:tcPr>
        <w:tcBorders>
          <w:top w:val="double" w:color="B7EF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2-Accent2">
    <w:name w:val="Grid Table 2 Accent 2"/>
    <w:basedOn w:val="TableNormal"/>
    <w:uiPriority w:val="47"/>
    <w:rsid w:val="00F238C5"/>
    <w:tblPr>
      <w:tblStyleRowBandSize w:val="1"/>
      <w:tblStyleColBandSize w:val="1"/>
      <w:tblBorders>
        <w:top w:val="single" w:color="97DAEF" w:themeColor="accent2" w:themeTint="99" w:sz="2" w:space="0"/>
        <w:bottom w:val="single" w:color="97DAEF" w:themeColor="accent2" w:themeTint="99" w:sz="2" w:space="0"/>
        <w:insideH w:val="single" w:color="97DAEF" w:themeColor="accent2" w:themeTint="99" w:sz="2" w:space="0"/>
        <w:insideV w:val="single" w:color="97DAEF" w:themeColor="accent2" w:themeTint="99" w:sz="2" w:space="0"/>
      </w:tblBorders>
    </w:tblPr>
    <w:tblStylePr w:type="firstRow">
      <w:rPr>
        <w:b/>
        <w:bCs/>
      </w:rPr>
      <w:tblPr/>
      <w:tcPr>
        <w:tcBorders>
          <w:top w:val="nil"/>
          <w:bottom w:val="single" w:color="97DAEF" w:themeColor="accent2" w:themeTint="99" w:sz="12" w:space="0"/>
          <w:insideH w:val="nil"/>
          <w:insideV w:val="nil"/>
        </w:tcBorders>
        <w:shd w:val="clear" w:color="auto" w:fill="FFFFFF" w:themeFill="background1"/>
      </w:tcPr>
    </w:tblStylePr>
    <w:tblStylePr w:type="lastRow">
      <w:rPr>
        <w:b/>
        <w:bCs/>
      </w:rPr>
      <w:tblPr/>
      <w:tcPr>
        <w:tcBorders>
          <w:top w:val="double" w:color="97DAE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2-Accent3">
    <w:name w:val="Grid Table 2 Accent 3"/>
    <w:basedOn w:val="TableNormal"/>
    <w:uiPriority w:val="47"/>
    <w:rsid w:val="00F238C5"/>
    <w:tblPr>
      <w:tblStyleRowBandSize w:val="1"/>
      <w:tblStyleColBandSize w:val="1"/>
      <w:tblBorders>
        <w:top w:val="single" w:color="B7BFF8" w:themeColor="accent3" w:themeTint="99" w:sz="2" w:space="0"/>
        <w:bottom w:val="single" w:color="B7BFF8" w:themeColor="accent3" w:themeTint="99" w:sz="2" w:space="0"/>
        <w:insideH w:val="single" w:color="B7BFF8" w:themeColor="accent3" w:themeTint="99" w:sz="2" w:space="0"/>
        <w:insideV w:val="single" w:color="B7BFF8" w:themeColor="accent3" w:themeTint="99" w:sz="2" w:space="0"/>
      </w:tblBorders>
    </w:tblPr>
    <w:tblStylePr w:type="firstRow">
      <w:rPr>
        <w:b/>
        <w:bCs/>
      </w:rPr>
      <w:tblPr/>
      <w:tcPr>
        <w:tcBorders>
          <w:top w:val="nil"/>
          <w:bottom w:val="single" w:color="B7BFF8" w:themeColor="accent3" w:themeTint="99" w:sz="12" w:space="0"/>
          <w:insideH w:val="nil"/>
          <w:insideV w:val="nil"/>
        </w:tcBorders>
        <w:shd w:val="clear" w:color="auto" w:fill="FFFFFF" w:themeFill="background1"/>
      </w:tcPr>
    </w:tblStylePr>
    <w:tblStylePr w:type="lastRow">
      <w:rPr>
        <w:b/>
        <w:bCs/>
      </w:rPr>
      <w:tblPr/>
      <w:tcPr>
        <w:tcBorders>
          <w:top w:val="double" w:color="B7BFF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2-Accent4">
    <w:name w:val="Grid Table 2 Accent 4"/>
    <w:basedOn w:val="TableNormal"/>
    <w:uiPriority w:val="47"/>
    <w:rsid w:val="00F238C5"/>
    <w:tblPr>
      <w:tblStyleRowBandSize w:val="1"/>
      <w:tblStyleColBandSize w:val="1"/>
      <w:tblBorders>
        <w:top w:val="single" w:color="F2C8F2" w:themeColor="accent4" w:themeTint="99" w:sz="2" w:space="0"/>
        <w:bottom w:val="single" w:color="F2C8F2" w:themeColor="accent4" w:themeTint="99" w:sz="2" w:space="0"/>
        <w:insideH w:val="single" w:color="F2C8F2" w:themeColor="accent4" w:themeTint="99" w:sz="2" w:space="0"/>
        <w:insideV w:val="single" w:color="F2C8F2" w:themeColor="accent4" w:themeTint="99" w:sz="2" w:space="0"/>
      </w:tblBorders>
    </w:tblPr>
    <w:tblStylePr w:type="firstRow">
      <w:rPr>
        <w:b/>
        <w:bCs/>
      </w:rPr>
      <w:tblPr/>
      <w:tcPr>
        <w:tcBorders>
          <w:top w:val="nil"/>
          <w:bottom w:val="single" w:color="F2C8F2" w:themeColor="accent4" w:themeTint="99" w:sz="12" w:space="0"/>
          <w:insideH w:val="nil"/>
          <w:insideV w:val="nil"/>
        </w:tcBorders>
        <w:shd w:val="clear" w:color="auto" w:fill="FFFFFF" w:themeFill="background1"/>
      </w:tcPr>
    </w:tblStylePr>
    <w:tblStylePr w:type="lastRow">
      <w:rPr>
        <w:b/>
        <w:bCs/>
      </w:rPr>
      <w:tblPr/>
      <w:tcPr>
        <w:tcBorders>
          <w:top w:val="double" w:color="F2C8F2"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2-Accent5">
    <w:name w:val="Grid Table 2 Accent 5"/>
    <w:basedOn w:val="TableNormal"/>
    <w:uiPriority w:val="47"/>
    <w:rsid w:val="00F238C5"/>
    <w:tblPr>
      <w:tblStyleRowBandSize w:val="1"/>
      <w:tblStyleColBandSize w:val="1"/>
      <w:tblBorders>
        <w:top w:val="single" w:color="FDBFC3" w:themeColor="accent5" w:themeTint="99" w:sz="2" w:space="0"/>
        <w:bottom w:val="single" w:color="FDBFC3" w:themeColor="accent5" w:themeTint="99" w:sz="2" w:space="0"/>
        <w:insideH w:val="single" w:color="FDBFC3" w:themeColor="accent5" w:themeTint="99" w:sz="2" w:space="0"/>
        <w:insideV w:val="single" w:color="FDBFC3" w:themeColor="accent5" w:themeTint="99" w:sz="2" w:space="0"/>
      </w:tblBorders>
    </w:tblPr>
    <w:tblStylePr w:type="firstRow">
      <w:rPr>
        <w:b/>
        <w:bCs/>
      </w:rPr>
      <w:tblPr/>
      <w:tcPr>
        <w:tcBorders>
          <w:top w:val="nil"/>
          <w:bottom w:val="single" w:color="FDBFC3" w:themeColor="accent5" w:themeTint="99" w:sz="12" w:space="0"/>
          <w:insideH w:val="nil"/>
          <w:insideV w:val="nil"/>
        </w:tcBorders>
        <w:shd w:val="clear" w:color="auto" w:fill="FFFFFF" w:themeFill="background1"/>
      </w:tcPr>
    </w:tblStylePr>
    <w:tblStylePr w:type="lastRow">
      <w:rPr>
        <w:b/>
        <w:bCs/>
      </w:rPr>
      <w:tblPr/>
      <w:tcPr>
        <w:tcBorders>
          <w:top w:val="double" w:color="FDBFC3"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2-Accent6">
    <w:name w:val="Grid Table 2 Accent 6"/>
    <w:basedOn w:val="TableNormal"/>
    <w:uiPriority w:val="47"/>
    <w:rsid w:val="00F238C5"/>
    <w:tblPr>
      <w:tblStyleRowBandSize w:val="1"/>
      <w:tblStyleColBandSize w:val="1"/>
      <w:tblBorders>
        <w:top w:val="single" w:color="D3F5E6" w:themeColor="accent6" w:themeTint="99" w:sz="2" w:space="0"/>
        <w:bottom w:val="single" w:color="D3F5E6" w:themeColor="accent6" w:themeTint="99" w:sz="2" w:space="0"/>
        <w:insideH w:val="single" w:color="D3F5E6" w:themeColor="accent6" w:themeTint="99" w:sz="2" w:space="0"/>
        <w:insideV w:val="single" w:color="D3F5E6" w:themeColor="accent6" w:themeTint="99" w:sz="2" w:space="0"/>
      </w:tblBorders>
    </w:tblPr>
    <w:tblStylePr w:type="firstRow">
      <w:rPr>
        <w:b/>
        <w:bCs/>
      </w:rPr>
      <w:tblPr/>
      <w:tcPr>
        <w:tcBorders>
          <w:top w:val="nil"/>
          <w:bottom w:val="single" w:color="D3F5E6" w:themeColor="accent6" w:themeTint="99" w:sz="12" w:space="0"/>
          <w:insideH w:val="nil"/>
          <w:insideV w:val="nil"/>
        </w:tcBorders>
        <w:shd w:val="clear" w:color="auto" w:fill="FFFFFF" w:themeFill="background1"/>
      </w:tcPr>
    </w:tblStylePr>
    <w:tblStylePr w:type="lastRow">
      <w:rPr>
        <w:b/>
        <w:bCs/>
      </w:rPr>
      <w:tblPr/>
      <w:tcPr>
        <w:tcBorders>
          <w:top w:val="double" w:color="D3F5E6"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3">
    <w:name w:val="Grid Table 3"/>
    <w:basedOn w:val="TableNormal"/>
    <w:uiPriority w:val="48"/>
    <w:rsid w:val="00F238C5"/>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color="828282" w:themeColor="text1" w:themeTint="99" w:sz="4" w:space="0"/>
        </w:tcBorders>
      </w:tcPr>
    </w:tblStylePr>
    <w:tblStylePr w:type="nwCell">
      <w:tblPr/>
      <w:tcPr>
        <w:tcBorders>
          <w:bottom w:val="single" w:color="828282" w:themeColor="text1" w:themeTint="99" w:sz="4" w:space="0"/>
        </w:tcBorders>
      </w:tcPr>
    </w:tblStylePr>
    <w:tblStylePr w:type="seCell">
      <w:tblPr/>
      <w:tcPr>
        <w:tcBorders>
          <w:top w:val="single" w:color="828282" w:themeColor="text1" w:themeTint="99" w:sz="4" w:space="0"/>
        </w:tcBorders>
      </w:tcPr>
    </w:tblStylePr>
    <w:tblStylePr w:type="swCell">
      <w:tblPr/>
      <w:tcPr>
        <w:tcBorders>
          <w:top w:val="single" w:color="828282" w:themeColor="text1" w:themeTint="99" w:sz="4" w:space="0"/>
        </w:tcBorders>
      </w:tcPr>
    </w:tblStylePr>
  </w:style>
  <w:style w:type="table" w:styleId="GridTable3-Accent1">
    <w:name w:val="Grid Table 3 Accent 1"/>
    <w:basedOn w:val="TableNormal"/>
    <w:uiPriority w:val="48"/>
    <w:rsid w:val="00F238C5"/>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bottom w:val="single" w:color="B7EFD7" w:themeColor="accent1" w:themeTint="99" w:sz="4" w:space="0"/>
        </w:tcBorders>
      </w:tcPr>
    </w:tblStylePr>
    <w:tblStylePr w:type="nwCell">
      <w:tblPr/>
      <w:tcPr>
        <w:tcBorders>
          <w:bottom w:val="single" w:color="B7EFD7" w:themeColor="accent1" w:themeTint="99" w:sz="4" w:space="0"/>
        </w:tcBorders>
      </w:tcPr>
    </w:tblStylePr>
    <w:tblStylePr w:type="seCell">
      <w:tblPr/>
      <w:tcPr>
        <w:tcBorders>
          <w:top w:val="single" w:color="B7EFD7" w:themeColor="accent1" w:themeTint="99" w:sz="4" w:space="0"/>
        </w:tcBorders>
      </w:tcPr>
    </w:tblStylePr>
    <w:tblStylePr w:type="swCell">
      <w:tblPr/>
      <w:tcPr>
        <w:tcBorders>
          <w:top w:val="single" w:color="B7EFD7" w:themeColor="accent1" w:themeTint="99" w:sz="4" w:space="0"/>
        </w:tcBorders>
      </w:tcPr>
    </w:tblStylePr>
  </w:style>
  <w:style w:type="table" w:styleId="GridTable3-Accent2">
    <w:name w:val="Grid Table 3 Accent 2"/>
    <w:basedOn w:val="TableNormal"/>
    <w:uiPriority w:val="48"/>
    <w:rsid w:val="00F238C5"/>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bottom w:val="single" w:color="97DAEF" w:themeColor="accent2" w:themeTint="99" w:sz="4" w:space="0"/>
        </w:tcBorders>
      </w:tcPr>
    </w:tblStylePr>
    <w:tblStylePr w:type="nwCell">
      <w:tblPr/>
      <w:tcPr>
        <w:tcBorders>
          <w:bottom w:val="single" w:color="97DAEF" w:themeColor="accent2" w:themeTint="99" w:sz="4" w:space="0"/>
        </w:tcBorders>
      </w:tcPr>
    </w:tblStylePr>
    <w:tblStylePr w:type="seCell">
      <w:tblPr/>
      <w:tcPr>
        <w:tcBorders>
          <w:top w:val="single" w:color="97DAEF" w:themeColor="accent2" w:themeTint="99" w:sz="4" w:space="0"/>
        </w:tcBorders>
      </w:tcPr>
    </w:tblStylePr>
    <w:tblStylePr w:type="swCell">
      <w:tblPr/>
      <w:tcPr>
        <w:tcBorders>
          <w:top w:val="single" w:color="97DAEF" w:themeColor="accent2" w:themeTint="99" w:sz="4" w:space="0"/>
        </w:tcBorders>
      </w:tcPr>
    </w:tblStylePr>
  </w:style>
  <w:style w:type="table" w:styleId="GridTable3-Accent3">
    <w:name w:val="Grid Table 3 Accent 3"/>
    <w:basedOn w:val="TableNormal"/>
    <w:uiPriority w:val="48"/>
    <w:rsid w:val="00F238C5"/>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bottom w:val="single" w:color="B7BFF8" w:themeColor="accent3" w:themeTint="99" w:sz="4" w:space="0"/>
        </w:tcBorders>
      </w:tcPr>
    </w:tblStylePr>
    <w:tblStylePr w:type="nwCell">
      <w:tblPr/>
      <w:tcPr>
        <w:tcBorders>
          <w:bottom w:val="single" w:color="B7BFF8" w:themeColor="accent3" w:themeTint="99" w:sz="4" w:space="0"/>
        </w:tcBorders>
      </w:tcPr>
    </w:tblStylePr>
    <w:tblStylePr w:type="seCell">
      <w:tblPr/>
      <w:tcPr>
        <w:tcBorders>
          <w:top w:val="single" w:color="B7BFF8" w:themeColor="accent3" w:themeTint="99" w:sz="4" w:space="0"/>
        </w:tcBorders>
      </w:tcPr>
    </w:tblStylePr>
    <w:tblStylePr w:type="swCell">
      <w:tblPr/>
      <w:tcPr>
        <w:tcBorders>
          <w:top w:val="single" w:color="B7BFF8" w:themeColor="accent3" w:themeTint="99" w:sz="4" w:space="0"/>
        </w:tcBorders>
      </w:tcPr>
    </w:tblStylePr>
  </w:style>
  <w:style w:type="table" w:styleId="GridTable3-Accent4">
    <w:name w:val="Grid Table 3 Accent 4"/>
    <w:basedOn w:val="TableNormal"/>
    <w:uiPriority w:val="48"/>
    <w:rsid w:val="00F238C5"/>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bottom w:val="single" w:color="F2C8F2" w:themeColor="accent4" w:themeTint="99" w:sz="4" w:space="0"/>
        </w:tcBorders>
      </w:tcPr>
    </w:tblStylePr>
    <w:tblStylePr w:type="nwCell">
      <w:tblPr/>
      <w:tcPr>
        <w:tcBorders>
          <w:bottom w:val="single" w:color="F2C8F2" w:themeColor="accent4" w:themeTint="99" w:sz="4" w:space="0"/>
        </w:tcBorders>
      </w:tcPr>
    </w:tblStylePr>
    <w:tblStylePr w:type="seCell">
      <w:tblPr/>
      <w:tcPr>
        <w:tcBorders>
          <w:top w:val="single" w:color="F2C8F2" w:themeColor="accent4" w:themeTint="99" w:sz="4" w:space="0"/>
        </w:tcBorders>
      </w:tcPr>
    </w:tblStylePr>
    <w:tblStylePr w:type="swCell">
      <w:tblPr/>
      <w:tcPr>
        <w:tcBorders>
          <w:top w:val="single" w:color="F2C8F2" w:themeColor="accent4" w:themeTint="99" w:sz="4" w:space="0"/>
        </w:tcBorders>
      </w:tcPr>
    </w:tblStylePr>
  </w:style>
  <w:style w:type="table" w:styleId="GridTable3-Accent5">
    <w:name w:val="Grid Table 3 Accent 5"/>
    <w:basedOn w:val="TableNormal"/>
    <w:uiPriority w:val="48"/>
    <w:rsid w:val="00F238C5"/>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bottom w:val="single" w:color="FDBFC3" w:themeColor="accent5" w:themeTint="99" w:sz="4" w:space="0"/>
        </w:tcBorders>
      </w:tcPr>
    </w:tblStylePr>
    <w:tblStylePr w:type="nwCell">
      <w:tblPr/>
      <w:tcPr>
        <w:tcBorders>
          <w:bottom w:val="single" w:color="FDBFC3" w:themeColor="accent5" w:themeTint="99" w:sz="4" w:space="0"/>
        </w:tcBorders>
      </w:tcPr>
    </w:tblStylePr>
    <w:tblStylePr w:type="seCell">
      <w:tblPr/>
      <w:tcPr>
        <w:tcBorders>
          <w:top w:val="single" w:color="FDBFC3" w:themeColor="accent5" w:themeTint="99" w:sz="4" w:space="0"/>
        </w:tcBorders>
      </w:tcPr>
    </w:tblStylePr>
    <w:tblStylePr w:type="swCell">
      <w:tblPr/>
      <w:tcPr>
        <w:tcBorders>
          <w:top w:val="single" w:color="FDBFC3" w:themeColor="accent5" w:themeTint="99" w:sz="4" w:space="0"/>
        </w:tcBorders>
      </w:tcPr>
    </w:tblStylePr>
  </w:style>
  <w:style w:type="table" w:styleId="GridTable3-Accent6">
    <w:name w:val="Grid Table 3 Accent 6"/>
    <w:basedOn w:val="TableNormal"/>
    <w:uiPriority w:val="48"/>
    <w:rsid w:val="00F238C5"/>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bottom w:val="single" w:color="D3F5E6" w:themeColor="accent6" w:themeTint="99" w:sz="4" w:space="0"/>
        </w:tcBorders>
      </w:tcPr>
    </w:tblStylePr>
    <w:tblStylePr w:type="nwCell">
      <w:tblPr/>
      <w:tcPr>
        <w:tcBorders>
          <w:bottom w:val="single" w:color="D3F5E6" w:themeColor="accent6" w:themeTint="99" w:sz="4" w:space="0"/>
        </w:tcBorders>
      </w:tcPr>
    </w:tblStylePr>
    <w:tblStylePr w:type="seCell">
      <w:tblPr/>
      <w:tcPr>
        <w:tcBorders>
          <w:top w:val="single" w:color="D3F5E6" w:themeColor="accent6" w:themeTint="99" w:sz="4" w:space="0"/>
        </w:tcBorders>
      </w:tcPr>
    </w:tblStylePr>
    <w:tblStylePr w:type="swCell">
      <w:tblPr/>
      <w:tcPr>
        <w:tcBorders>
          <w:top w:val="single" w:color="D3F5E6" w:themeColor="accent6" w:themeTint="99" w:sz="4" w:space="0"/>
        </w:tcBorders>
      </w:tcPr>
    </w:tblStylePr>
  </w:style>
  <w:style w:type="table" w:styleId="GridTable4">
    <w:name w:val="Grid Table 4"/>
    <w:basedOn w:val="TableNormal"/>
    <w:uiPriority w:val="49"/>
    <w:rsid w:val="00F238C5"/>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color w:val="FFFFFF" w:themeColor="background1"/>
      </w:rPr>
      <w:tblPr/>
      <w:tcPr>
        <w:tcBorders>
          <w:top w:val="single" w:color="303030" w:themeColor="text1" w:sz="4" w:space="0"/>
          <w:left w:val="single" w:color="303030" w:themeColor="text1" w:sz="4" w:space="0"/>
          <w:bottom w:val="single" w:color="303030" w:themeColor="text1" w:sz="4" w:space="0"/>
          <w:right w:val="single" w:color="303030" w:themeColor="text1" w:sz="4" w:space="0"/>
          <w:insideH w:val="nil"/>
          <w:insideV w:val="nil"/>
        </w:tcBorders>
        <w:shd w:val="clear" w:color="auto" w:fill="303030" w:themeFill="text1"/>
      </w:tcPr>
    </w:tblStylePr>
    <w:tblStylePr w:type="lastRow">
      <w:rPr>
        <w:b/>
        <w:bCs/>
      </w:rPr>
      <w:tblPr/>
      <w:tcPr>
        <w:tcBorders>
          <w:top w:val="double" w:color="303030" w:themeColor="text1"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4-Accent1">
    <w:name w:val="Grid Table 4 Accent 1"/>
    <w:basedOn w:val="TableNormal"/>
    <w:uiPriority w:val="49"/>
    <w:rsid w:val="00F238C5"/>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color w:val="FFFFFF" w:themeColor="background1"/>
      </w:rPr>
      <w:tblPr/>
      <w:tcPr>
        <w:tcBorders>
          <w:top w:val="single" w:color="88E5BD" w:themeColor="accent1" w:sz="4" w:space="0"/>
          <w:left w:val="single" w:color="88E5BD" w:themeColor="accent1" w:sz="4" w:space="0"/>
          <w:bottom w:val="single" w:color="88E5BD" w:themeColor="accent1" w:sz="4" w:space="0"/>
          <w:right w:val="single" w:color="88E5BD" w:themeColor="accent1" w:sz="4" w:space="0"/>
          <w:insideH w:val="nil"/>
          <w:insideV w:val="nil"/>
        </w:tcBorders>
        <w:shd w:val="clear" w:color="auto" w:fill="88E5BD" w:themeFill="accent1"/>
      </w:tcPr>
    </w:tblStylePr>
    <w:tblStylePr w:type="lastRow">
      <w:rPr>
        <w:b/>
        <w:bCs/>
      </w:rPr>
      <w:tblPr/>
      <w:tcPr>
        <w:tcBorders>
          <w:top w:val="double" w:color="88E5BD" w:themeColor="accent1"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4-Accent2">
    <w:name w:val="Grid Table 4 Accent 2"/>
    <w:basedOn w:val="TableNormal"/>
    <w:uiPriority w:val="49"/>
    <w:rsid w:val="00F238C5"/>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color w:val="FFFFFF" w:themeColor="background1"/>
      </w:rPr>
      <w:tblPr/>
      <w:tcPr>
        <w:tcBorders>
          <w:top w:val="single" w:color="53C2E5" w:themeColor="accent2" w:sz="4" w:space="0"/>
          <w:left w:val="single" w:color="53C2E5" w:themeColor="accent2" w:sz="4" w:space="0"/>
          <w:bottom w:val="single" w:color="53C2E5" w:themeColor="accent2" w:sz="4" w:space="0"/>
          <w:right w:val="single" w:color="53C2E5" w:themeColor="accent2" w:sz="4" w:space="0"/>
          <w:insideH w:val="nil"/>
          <w:insideV w:val="nil"/>
        </w:tcBorders>
        <w:shd w:val="clear" w:color="auto" w:fill="53C2E5" w:themeFill="accent2"/>
      </w:tcPr>
    </w:tblStylePr>
    <w:tblStylePr w:type="lastRow">
      <w:rPr>
        <w:b/>
        <w:bCs/>
      </w:rPr>
      <w:tblPr/>
      <w:tcPr>
        <w:tcBorders>
          <w:top w:val="double" w:color="53C2E5" w:themeColor="accent2"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4-Accent3">
    <w:name w:val="Grid Table 4 Accent 3"/>
    <w:basedOn w:val="TableNormal"/>
    <w:uiPriority w:val="49"/>
    <w:rsid w:val="00F238C5"/>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color w:val="FFFFFF" w:themeColor="background1"/>
      </w:rPr>
      <w:tblPr/>
      <w:tcPr>
        <w:tcBorders>
          <w:top w:val="single" w:color="8996F4" w:themeColor="accent3" w:sz="4" w:space="0"/>
          <w:left w:val="single" w:color="8996F4" w:themeColor="accent3" w:sz="4" w:space="0"/>
          <w:bottom w:val="single" w:color="8996F4" w:themeColor="accent3" w:sz="4" w:space="0"/>
          <w:right w:val="single" w:color="8996F4" w:themeColor="accent3" w:sz="4" w:space="0"/>
          <w:insideH w:val="nil"/>
          <w:insideV w:val="nil"/>
        </w:tcBorders>
        <w:shd w:val="clear" w:color="auto" w:fill="8996F4" w:themeFill="accent3"/>
      </w:tcPr>
    </w:tblStylePr>
    <w:tblStylePr w:type="lastRow">
      <w:rPr>
        <w:b/>
        <w:bCs/>
      </w:rPr>
      <w:tblPr/>
      <w:tcPr>
        <w:tcBorders>
          <w:top w:val="double" w:color="8996F4" w:themeColor="accent3"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4-Accent4">
    <w:name w:val="Grid Table 4 Accent 4"/>
    <w:basedOn w:val="TableNormal"/>
    <w:uiPriority w:val="49"/>
    <w:rsid w:val="00F238C5"/>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color w:val="FFFFFF" w:themeColor="background1"/>
      </w:rPr>
      <w:tblPr/>
      <w:tcPr>
        <w:tcBorders>
          <w:top w:val="single" w:color="EAA4EA" w:themeColor="accent4" w:sz="4" w:space="0"/>
          <w:left w:val="single" w:color="EAA4EA" w:themeColor="accent4" w:sz="4" w:space="0"/>
          <w:bottom w:val="single" w:color="EAA4EA" w:themeColor="accent4" w:sz="4" w:space="0"/>
          <w:right w:val="single" w:color="EAA4EA" w:themeColor="accent4" w:sz="4" w:space="0"/>
          <w:insideH w:val="nil"/>
          <w:insideV w:val="nil"/>
        </w:tcBorders>
        <w:shd w:val="clear" w:color="auto" w:fill="EAA4EA" w:themeFill="accent4"/>
      </w:tcPr>
    </w:tblStylePr>
    <w:tblStylePr w:type="lastRow">
      <w:rPr>
        <w:b/>
        <w:bCs/>
      </w:rPr>
      <w:tblPr/>
      <w:tcPr>
        <w:tcBorders>
          <w:top w:val="double" w:color="EAA4EA" w:themeColor="accent4"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4-Accent5">
    <w:name w:val="Grid Table 4 Accent 5"/>
    <w:basedOn w:val="TableNormal"/>
    <w:uiPriority w:val="49"/>
    <w:rsid w:val="00F238C5"/>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color w:val="FFFFFF" w:themeColor="background1"/>
      </w:rPr>
      <w:tblPr/>
      <w:tcPr>
        <w:tcBorders>
          <w:top w:val="single" w:color="FD969C" w:themeColor="accent5" w:sz="4" w:space="0"/>
          <w:left w:val="single" w:color="FD969C" w:themeColor="accent5" w:sz="4" w:space="0"/>
          <w:bottom w:val="single" w:color="FD969C" w:themeColor="accent5" w:sz="4" w:space="0"/>
          <w:right w:val="single" w:color="FD969C" w:themeColor="accent5" w:sz="4" w:space="0"/>
          <w:insideH w:val="nil"/>
          <w:insideV w:val="nil"/>
        </w:tcBorders>
        <w:shd w:val="clear" w:color="auto" w:fill="FD969C" w:themeFill="accent5"/>
      </w:tcPr>
    </w:tblStylePr>
    <w:tblStylePr w:type="lastRow">
      <w:rPr>
        <w:b/>
        <w:bCs/>
      </w:rPr>
      <w:tblPr/>
      <w:tcPr>
        <w:tcBorders>
          <w:top w:val="double" w:color="FD969C" w:themeColor="accent5"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4-Accent6">
    <w:name w:val="Grid Table 4 Accent 6"/>
    <w:basedOn w:val="TableNormal"/>
    <w:uiPriority w:val="49"/>
    <w:rsid w:val="00F238C5"/>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color w:val="FFFFFF" w:themeColor="background1"/>
      </w:rPr>
      <w:tblPr/>
      <w:tcPr>
        <w:tcBorders>
          <w:top w:val="single" w:color="B7EFD7" w:themeColor="accent6" w:sz="4" w:space="0"/>
          <w:left w:val="single" w:color="B7EFD7" w:themeColor="accent6" w:sz="4" w:space="0"/>
          <w:bottom w:val="single" w:color="B7EFD7" w:themeColor="accent6" w:sz="4" w:space="0"/>
          <w:right w:val="single" w:color="B7EFD7" w:themeColor="accent6" w:sz="4" w:space="0"/>
          <w:insideH w:val="nil"/>
          <w:insideV w:val="nil"/>
        </w:tcBorders>
        <w:shd w:val="clear" w:color="auto" w:fill="B7EFD7" w:themeFill="accent6"/>
      </w:tcPr>
    </w:tblStylePr>
    <w:tblStylePr w:type="lastRow">
      <w:rPr>
        <w:b/>
        <w:bCs/>
      </w:rPr>
      <w:tblPr/>
      <w:tcPr>
        <w:tcBorders>
          <w:top w:val="double" w:color="B7EFD7" w:themeColor="accent6"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5Dark">
    <w:name w:val="Grid Table 5 Dark"/>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5D5D5"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303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303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303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3030" w:themeFill="text1"/>
      </w:tcPr>
    </w:tblStylePr>
    <w:tblStylePr w:type="band1Vert">
      <w:tblPr/>
      <w:tcPr>
        <w:shd w:val="clear" w:color="auto" w:fill="ACACAC" w:themeFill="text1" w:themeFillTint="66"/>
      </w:tcPr>
    </w:tblStylePr>
    <w:tblStylePr w:type="band1Horz">
      <w:tblPr/>
      <w:tcPr>
        <w:shd w:val="clear" w:color="auto" w:fill="ACACAC" w:themeFill="text1" w:themeFillTint="66"/>
      </w:tcPr>
    </w:tblStylePr>
  </w:style>
  <w:style w:type="table" w:styleId="GridTable5Dark-Accent1">
    <w:name w:val="Grid Table 5 Dark Accent 1"/>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7F9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8E5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8E5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8E5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8E5BD" w:themeFill="accent1"/>
      </w:tcPr>
    </w:tblStylePr>
    <w:tblStylePr w:type="band1Vert">
      <w:tblPr/>
      <w:tcPr>
        <w:shd w:val="clear" w:color="auto" w:fill="CFF4E4" w:themeFill="accent1" w:themeFillTint="66"/>
      </w:tcPr>
    </w:tblStylePr>
    <w:tblStylePr w:type="band1Horz">
      <w:tblPr/>
      <w:tcPr>
        <w:shd w:val="clear" w:color="auto" w:fill="CFF4E4" w:themeFill="accent1" w:themeFillTint="66"/>
      </w:tcPr>
    </w:tblStylePr>
  </w:style>
  <w:style w:type="table" w:styleId="GridTable5Dark-Accent2">
    <w:name w:val="Grid Table 5 Dark Accent 2"/>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CF2F9"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3C2E5"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3C2E5"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3C2E5"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3C2E5" w:themeFill="accent2"/>
      </w:tcPr>
    </w:tblStylePr>
    <w:tblStylePr w:type="band1Vert">
      <w:tblPr/>
      <w:tcPr>
        <w:shd w:val="clear" w:color="auto" w:fill="BAE6F4" w:themeFill="accent2" w:themeFillTint="66"/>
      </w:tcPr>
    </w:tblStylePr>
    <w:tblStylePr w:type="band1Horz">
      <w:tblPr/>
      <w:tcPr>
        <w:shd w:val="clear" w:color="auto" w:fill="BAE6F4" w:themeFill="accent2" w:themeFillTint="66"/>
      </w:tcPr>
    </w:tblStylePr>
  </w:style>
  <w:style w:type="table" w:styleId="GridTable5Dark-Accent3">
    <w:name w:val="Grid Table 5 Dark Accent 3"/>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7E9FC"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996F4"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996F4"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996F4"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996F4" w:themeFill="accent3"/>
      </w:tcPr>
    </w:tblStylePr>
    <w:tblStylePr w:type="band1Vert">
      <w:tblPr/>
      <w:tcPr>
        <w:shd w:val="clear" w:color="auto" w:fill="CFD4FA" w:themeFill="accent3" w:themeFillTint="66"/>
      </w:tcPr>
    </w:tblStylePr>
    <w:tblStylePr w:type="band1Horz">
      <w:tblPr/>
      <w:tcPr>
        <w:shd w:val="clear" w:color="auto" w:fill="CFD4FA" w:themeFill="accent3" w:themeFillTint="66"/>
      </w:tcPr>
    </w:tblStylePr>
  </w:style>
  <w:style w:type="table" w:styleId="GridTable5Dark-Accent4">
    <w:name w:val="Grid Table 5 Dark Accent 4"/>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CF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AA4EA"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AA4EA"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AA4EA"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AA4EA" w:themeFill="accent4"/>
      </w:tcPr>
    </w:tblStylePr>
    <w:tblStylePr w:type="band1Vert">
      <w:tblPr/>
      <w:tcPr>
        <w:shd w:val="clear" w:color="auto" w:fill="F6DAF6" w:themeFill="accent4" w:themeFillTint="66"/>
      </w:tcPr>
    </w:tblStylePr>
    <w:tblStylePr w:type="band1Horz">
      <w:tblPr/>
      <w:tcPr>
        <w:shd w:val="clear" w:color="auto" w:fill="F6DAF6" w:themeFill="accent4" w:themeFillTint="66"/>
      </w:tcPr>
    </w:tblStylePr>
  </w:style>
  <w:style w:type="table" w:styleId="GridTable5Dark-Accent5">
    <w:name w:val="Grid Table 5 Dark Accent 5"/>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E9E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D969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D969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D969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D969C" w:themeFill="accent5"/>
      </w:tcPr>
    </w:tblStylePr>
    <w:tblStylePr w:type="band1Vert">
      <w:tblPr/>
      <w:tcPr>
        <w:shd w:val="clear" w:color="auto" w:fill="FED4D6" w:themeFill="accent5" w:themeFillTint="66"/>
      </w:tcPr>
    </w:tblStylePr>
    <w:tblStylePr w:type="band1Horz">
      <w:tblPr/>
      <w:tcPr>
        <w:shd w:val="clear" w:color="auto" w:fill="FED4D6" w:themeFill="accent5" w:themeFillTint="66"/>
      </w:tcPr>
    </w:tblStylePr>
  </w:style>
  <w:style w:type="table" w:styleId="GridTable5Dark-Accent6">
    <w:name w:val="Grid Table 5 Dark Accent 6"/>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FBF6"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7EFD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7EFD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7EFD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7EFD7" w:themeFill="accent6"/>
      </w:tcPr>
    </w:tblStylePr>
    <w:tblStylePr w:type="band1Vert">
      <w:tblPr/>
      <w:tcPr>
        <w:shd w:val="clear" w:color="auto" w:fill="E2F8EE" w:themeFill="accent6" w:themeFillTint="66"/>
      </w:tcPr>
    </w:tblStylePr>
    <w:tblStylePr w:type="band1Horz">
      <w:tblPr/>
      <w:tcPr>
        <w:shd w:val="clear" w:color="auto" w:fill="E2F8EE" w:themeFill="accent6" w:themeFillTint="66"/>
      </w:tcPr>
    </w:tblStylePr>
  </w:style>
  <w:style w:type="table" w:styleId="GridTable6Colorful">
    <w:name w:val="Grid Table 6 Colorful"/>
    <w:basedOn w:val="TableNormal"/>
    <w:uiPriority w:val="51"/>
    <w:rsid w:val="00F238C5"/>
    <w:rPr>
      <w:color w:val="303030" w:themeColor="text1"/>
    </w:rPr>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rPr>
      <w:tblPr/>
      <w:tcPr>
        <w:tcBorders>
          <w:bottom w:val="single" w:color="828282" w:themeColor="text1" w:themeTint="99" w:sz="12" w:space="0"/>
        </w:tcBorders>
      </w:tcPr>
    </w:tblStylePr>
    <w:tblStylePr w:type="lastRow">
      <w:rPr>
        <w:b/>
        <w:bCs/>
      </w:rPr>
      <w:tblPr/>
      <w:tcPr>
        <w:tcBorders>
          <w:top w:val="double" w:color="828282" w:themeColor="text1" w:themeTint="99"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6Colorful-Accent1">
    <w:name w:val="Grid Table 6 Colorful Accent 1"/>
    <w:basedOn w:val="TableNormal"/>
    <w:uiPriority w:val="51"/>
    <w:rsid w:val="00F238C5"/>
    <w:rPr>
      <w:color w:val="3CD493" w:themeColor="accent1" w:themeShade="BF"/>
    </w:rPr>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rPr>
      <w:tblPr/>
      <w:tcPr>
        <w:tcBorders>
          <w:bottom w:val="single" w:color="B7EFD7" w:themeColor="accent1" w:themeTint="99" w:sz="12" w:space="0"/>
        </w:tcBorders>
      </w:tcPr>
    </w:tblStylePr>
    <w:tblStylePr w:type="lastRow">
      <w:rPr>
        <w:b/>
        <w:bCs/>
      </w:rPr>
      <w:tblPr/>
      <w:tcPr>
        <w:tcBorders>
          <w:top w:val="double" w:color="B7EFD7" w:themeColor="accent1" w:themeTint="99"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6Colorful-Accent2">
    <w:name w:val="Grid Table 6 Colorful Accent 2"/>
    <w:basedOn w:val="TableNormal"/>
    <w:uiPriority w:val="51"/>
    <w:rsid w:val="00F238C5"/>
    <w:rPr>
      <w:color w:val="1EA1CA" w:themeColor="accent2" w:themeShade="BF"/>
    </w:rPr>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rPr>
      <w:tblPr/>
      <w:tcPr>
        <w:tcBorders>
          <w:bottom w:val="single" w:color="97DAEF" w:themeColor="accent2" w:themeTint="99" w:sz="12" w:space="0"/>
        </w:tcBorders>
      </w:tcPr>
    </w:tblStylePr>
    <w:tblStylePr w:type="lastRow">
      <w:rPr>
        <w:b/>
        <w:bCs/>
      </w:rPr>
      <w:tblPr/>
      <w:tcPr>
        <w:tcBorders>
          <w:top w:val="double" w:color="97DAEF" w:themeColor="accent2" w:themeTint="99"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6Colorful-Accent3">
    <w:name w:val="Grid Table 6 Colorful Accent 3"/>
    <w:basedOn w:val="TableNormal"/>
    <w:uiPriority w:val="51"/>
    <w:rsid w:val="00F238C5"/>
    <w:rPr>
      <w:color w:val="3147EC" w:themeColor="accent3" w:themeShade="BF"/>
    </w:rPr>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rPr>
      <w:tblPr/>
      <w:tcPr>
        <w:tcBorders>
          <w:bottom w:val="single" w:color="B7BFF8" w:themeColor="accent3" w:themeTint="99" w:sz="12" w:space="0"/>
        </w:tcBorders>
      </w:tcPr>
    </w:tblStylePr>
    <w:tblStylePr w:type="lastRow">
      <w:rPr>
        <w:b/>
        <w:bCs/>
      </w:rPr>
      <w:tblPr/>
      <w:tcPr>
        <w:tcBorders>
          <w:top w:val="double" w:color="B7BFF8" w:themeColor="accent3" w:themeTint="99"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6Colorful-Accent4">
    <w:name w:val="Grid Table 6 Colorful Accent 4"/>
    <w:basedOn w:val="TableNormal"/>
    <w:uiPriority w:val="51"/>
    <w:rsid w:val="00F238C5"/>
    <w:rPr>
      <w:color w:val="D752D7" w:themeColor="accent4" w:themeShade="BF"/>
    </w:rPr>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rPr>
      <w:tblPr/>
      <w:tcPr>
        <w:tcBorders>
          <w:bottom w:val="single" w:color="F2C8F2" w:themeColor="accent4" w:themeTint="99" w:sz="12" w:space="0"/>
        </w:tcBorders>
      </w:tcPr>
    </w:tblStylePr>
    <w:tblStylePr w:type="lastRow">
      <w:rPr>
        <w:b/>
        <w:bCs/>
      </w:rPr>
      <w:tblPr/>
      <w:tcPr>
        <w:tcBorders>
          <w:top w:val="double" w:color="F2C8F2" w:themeColor="accent4" w:themeTint="99"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6Colorful-Accent5">
    <w:name w:val="Grid Table 6 Colorful Accent 5"/>
    <w:basedOn w:val="TableNormal"/>
    <w:uiPriority w:val="51"/>
    <w:rsid w:val="00F238C5"/>
    <w:rPr>
      <w:color w:val="FB323D" w:themeColor="accent5" w:themeShade="BF"/>
    </w:rPr>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rPr>
      <w:tblPr/>
      <w:tcPr>
        <w:tcBorders>
          <w:bottom w:val="single" w:color="FDBFC3" w:themeColor="accent5" w:themeTint="99" w:sz="12" w:space="0"/>
        </w:tcBorders>
      </w:tcPr>
    </w:tblStylePr>
    <w:tblStylePr w:type="lastRow">
      <w:rPr>
        <w:b/>
        <w:bCs/>
      </w:rPr>
      <w:tblPr/>
      <w:tcPr>
        <w:tcBorders>
          <w:top w:val="double" w:color="FDBFC3" w:themeColor="accent5" w:themeTint="99"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6Colorful-Accent6">
    <w:name w:val="Grid Table 6 Colorful Accent 6"/>
    <w:basedOn w:val="TableNormal"/>
    <w:uiPriority w:val="51"/>
    <w:rsid w:val="00F238C5"/>
    <w:rPr>
      <w:color w:val="60DBA6" w:themeColor="accent6" w:themeShade="BF"/>
    </w:rPr>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rPr>
      <w:tblPr/>
      <w:tcPr>
        <w:tcBorders>
          <w:bottom w:val="single" w:color="D3F5E6" w:themeColor="accent6" w:themeTint="99" w:sz="12" w:space="0"/>
        </w:tcBorders>
      </w:tcPr>
    </w:tblStylePr>
    <w:tblStylePr w:type="lastRow">
      <w:rPr>
        <w:b/>
        <w:bCs/>
      </w:rPr>
      <w:tblPr/>
      <w:tcPr>
        <w:tcBorders>
          <w:top w:val="double" w:color="D3F5E6"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7Colorful">
    <w:name w:val="Grid Table 7 Colorful"/>
    <w:basedOn w:val="TableNormal"/>
    <w:uiPriority w:val="52"/>
    <w:rsid w:val="00F238C5"/>
    <w:rPr>
      <w:color w:val="303030" w:themeColor="text1"/>
    </w:rPr>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color="828282" w:themeColor="text1" w:themeTint="99" w:sz="4" w:space="0"/>
        </w:tcBorders>
      </w:tcPr>
    </w:tblStylePr>
    <w:tblStylePr w:type="nwCell">
      <w:tblPr/>
      <w:tcPr>
        <w:tcBorders>
          <w:bottom w:val="single" w:color="828282" w:themeColor="text1" w:themeTint="99" w:sz="4" w:space="0"/>
        </w:tcBorders>
      </w:tcPr>
    </w:tblStylePr>
    <w:tblStylePr w:type="seCell">
      <w:tblPr/>
      <w:tcPr>
        <w:tcBorders>
          <w:top w:val="single" w:color="828282" w:themeColor="text1" w:themeTint="99" w:sz="4" w:space="0"/>
        </w:tcBorders>
      </w:tcPr>
    </w:tblStylePr>
    <w:tblStylePr w:type="swCell">
      <w:tblPr/>
      <w:tcPr>
        <w:tcBorders>
          <w:top w:val="single" w:color="828282" w:themeColor="text1" w:themeTint="99" w:sz="4" w:space="0"/>
        </w:tcBorders>
      </w:tcPr>
    </w:tblStylePr>
  </w:style>
  <w:style w:type="table" w:styleId="GridTable7Colorful-Accent1">
    <w:name w:val="Grid Table 7 Colorful Accent 1"/>
    <w:basedOn w:val="TableNormal"/>
    <w:uiPriority w:val="52"/>
    <w:rsid w:val="00F238C5"/>
    <w:rPr>
      <w:color w:val="3CD493" w:themeColor="accent1" w:themeShade="BF"/>
    </w:rPr>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bottom w:val="single" w:color="B7EFD7" w:themeColor="accent1" w:themeTint="99" w:sz="4" w:space="0"/>
        </w:tcBorders>
      </w:tcPr>
    </w:tblStylePr>
    <w:tblStylePr w:type="nwCell">
      <w:tblPr/>
      <w:tcPr>
        <w:tcBorders>
          <w:bottom w:val="single" w:color="B7EFD7" w:themeColor="accent1" w:themeTint="99" w:sz="4" w:space="0"/>
        </w:tcBorders>
      </w:tcPr>
    </w:tblStylePr>
    <w:tblStylePr w:type="seCell">
      <w:tblPr/>
      <w:tcPr>
        <w:tcBorders>
          <w:top w:val="single" w:color="B7EFD7" w:themeColor="accent1" w:themeTint="99" w:sz="4" w:space="0"/>
        </w:tcBorders>
      </w:tcPr>
    </w:tblStylePr>
    <w:tblStylePr w:type="swCell">
      <w:tblPr/>
      <w:tcPr>
        <w:tcBorders>
          <w:top w:val="single" w:color="B7EFD7" w:themeColor="accent1" w:themeTint="99" w:sz="4" w:space="0"/>
        </w:tcBorders>
      </w:tcPr>
    </w:tblStylePr>
  </w:style>
  <w:style w:type="table" w:styleId="GridTable7Colorful-Accent2">
    <w:name w:val="Grid Table 7 Colorful Accent 2"/>
    <w:basedOn w:val="TableNormal"/>
    <w:uiPriority w:val="52"/>
    <w:rsid w:val="00F238C5"/>
    <w:rPr>
      <w:color w:val="1EA1CA" w:themeColor="accent2" w:themeShade="BF"/>
    </w:rPr>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bottom w:val="single" w:color="97DAEF" w:themeColor="accent2" w:themeTint="99" w:sz="4" w:space="0"/>
        </w:tcBorders>
      </w:tcPr>
    </w:tblStylePr>
    <w:tblStylePr w:type="nwCell">
      <w:tblPr/>
      <w:tcPr>
        <w:tcBorders>
          <w:bottom w:val="single" w:color="97DAEF" w:themeColor="accent2" w:themeTint="99" w:sz="4" w:space="0"/>
        </w:tcBorders>
      </w:tcPr>
    </w:tblStylePr>
    <w:tblStylePr w:type="seCell">
      <w:tblPr/>
      <w:tcPr>
        <w:tcBorders>
          <w:top w:val="single" w:color="97DAEF" w:themeColor="accent2" w:themeTint="99" w:sz="4" w:space="0"/>
        </w:tcBorders>
      </w:tcPr>
    </w:tblStylePr>
    <w:tblStylePr w:type="swCell">
      <w:tblPr/>
      <w:tcPr>
        <w:tcBorders>
          <w:top w:val="single" w:color="97DAEF" w:themeColor="accent2" w:themeTint="99" w:sz="4" w:space="0"/>
        </w:tcBorders>
      </w:tcPr>
    </w:tblStylePr>
  </w:style>
  <w:style w:type="table" w:styleId="GridTable7Colorful-Accent3">
    <w:name w:val="Grid Table 7 Colorful Accent 3"/>
    <w:basedOn w:val="TableNormal"/>
    <w:uiPriority w:val="52"/>
    <w:rsid w:val="00F238C5"/>
    <w:rPr>
      <w:color w:val="3147EC" w:themeColor="accent3" w:themeShade="BF"/>
    </w:rPr>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bottom w:val="single" w:color="B7BFF8" w:themeColor="accent3" w:themeTint="99" w:sz="4" w:space="0"/>
        </w:tcBorders>
      </w:tcPr>
    </w:tblStylePr>
    <w:tblStylePr w:type="nwCell">
      <w:tblPr/>
      <w:tcPr>
        <w:tcBorders>
          <w:bottom w:val="single" w:color="B7BFF8" w:themeColor="accent3" w:themeTint="99" w:sz="4" w:space="0"/>
        </w:tcBorders>
      </w:tcPr>
    </w:tblStylePr>
    <w:tblStylePr w:type="seCell">
      <w:tblPr/>
      <w:tcPr>
        <w:tcBorders>
          <w:top w:val="single" w:color="B7BFF8" w:themeColor="accent3" w:themeTint="99" w:sz="4" w:space="0"/>
        </w:tcBorders>
      </w:tcPr>
    </w:tblStylePr>
    <w:tblStylePr w:type="swCell">
      <w:tblPr/>
      <w:tcPr>
        <w:tcBorders>
          <w:top w:val="single" w:color="B7BFF8" w:themeColor="accent3" w:themeTint="99" w:sz="4" w:space="0"/>
        </w:tcBorders>
      </w:tcPr>
    </w:tblStylePr>
  </w:style>
  <w:style w:type="table" w:styleId="GridTable7Colorful-Accent4">
    <w:name w:val="Grid Table 7 Colorful Accent 4"/>
    <w:basedOn w:val="TableNormal"/>
    <w:uiPriority w:val="52"/>
    <w:rsid w:val="00F238C5"/>
    <w:rPr>
      <w:color w:val="D752D7" w:themeColor="accent4" w:themeShade="BF"/>
    </w:rPr>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bottom w:val="single" w:color="F2C8F2" w:themeColor="accent4" w:themeTint="99" w:sz="4" w:space="0"/>
        </w:tcBorders>
      </w:tcPr>
    </w:tblStylePr>
    <w:tblStylePr w:type="nwCell">
      <w:tblPr/>
      <w:tcPr>
        <w:tcBorders>
          <w:bottom w:val="single" w:color="F2C8F2" w:themeColor="accent4" w:themeTint="99" w:sz="4" w:space="0"/>
        </w:tcBorders>
      </w:tcPr>
    </w:tblStylePr>
    <w:tblStylePr w:type="seCell">
      <w:tblPr/>
      <w:tcPr>
        <w:tcBorders>
          <w:top w:val="single" w:color="F2C8F2" w:themeColor="accent4" w:themeTint="99" w:sz="4" w:space="0"/>
        </w:tcBorders>
      </w:tcPr>
    </w:tblStylePr>
    <w:tblStylePr w:type="swCell">
      <w:tblPr/>
      <w:tcPr>
        <w:tcBorders>
          <w:top w:val="single" w:color="F2C8F2" w:themeColor="accent4" w:themeTint="99" w:sz="4" w:space="0"/>
        </w:tcBorders>
      </w:tcPr>
    </w:tblStylePr>
  </w:style>
  <w:style w:type="table" w:styleId="GridTable7Colorful-Accent5">
    <w:name w:val="Grid Table 7 Colorful Accent 5"/>
    <w:basedOn w:val="TableNormal"/>
    <w:uiPriority w:val="52"/>
    <w:rsid w:val="00F238C5"/>
    <w:rPr>
      <w:color w:val="FB323D" w:themeColor="accent5" w:themeShade="BF"/>
    </w:rPr>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bottom w:val="single" w:color="FDBFC3" w:themeColor="accent5" w:themeTint="99" w:sz="4" w:space="0"/>
        </w:tcBorders>
      </w:tcPr>
    </w:tblStylePr>
    <w:tblStylePr w:type="nwCell">
      <w:tblPr/>
      <w:tcPr>
        <w:tcBorders>
          <w:bottom w:val="single" w:color="FDBFC3" w:themeColor="accent5" w:themeTint="99" w:sz="4" w:space="0"/>
        </w:tcBorders>
      </w:tcPr>
    </w:tblStylePr>
    <w:tblStylePr w:type="seCell">
      <w:tblPr/>
      <w:tcPr>
        <w:tcBorders>
          <w:top w:val="single" w:color="FDBFC3" w:themeColor="accent5" w:themeTint="99" w:sz="4" w:space="0"/>
        </w:tcBorders>
      </w:tcPr>
    </w:tblStylePr>
    <w:tblStylePr w:type="swCell">
      <w:tblPr/>
      <w:tcPr>
        <w:tcBorders>
          <w:top w:val="single" w:color="FDBFC3" w:themeColor="accent5" w:themeTint="99" w:sz="4" w:space="0"/>
        </w:tcBorders>
      </w:tcPr>
    </w:tblStylePr>
  </w:style>
  <w:style w:type="table" w:styleId="GridTable7Colorful-Accent6">
    <w:name w:val="Grid Table 7 Colorful Accent 6"/>
    <w:basedOn w:val="TableNormal"/>
    <w:uiPriority w:val="52"/>
    <w:rsid w:val="00F238C5"/>
    <w:rPr>
      <w:color w:val="60DBA6" w:themeColor="accent6" w:themeShade="BF"/>
    </w:rPr>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bottom w:val="single" w:color="D3F5E6" w:themeColor="accent6" w:themeTint="99" w:sz="4" w:space="0"/>
        </w:tcBorders>
      </w:tcPr>
    </w:tblStylePr>
    <w:tblStylePr w:type="nwCell">
      <w:tblPr/>
      <w:tcPr>
        <w:tcBorders>
          <w:bottom w:val="single" w:color="D3F5E6" w:themeColor="accent6" w:themeTint="99" w:sz="4" w:space="0"/>
        </w:tcBorders>
      </w:tcPr>
    </w:tblStylePr>
    <w:tblStylePr w:type="seCell">
      <w:tblPr/>
      <w:tcPr>
        <w:tcBorders>
          <w:top w:val="single" w:color="D3F5E6" w:themeColor="accent6" w:themeTint="99" w:sz="4" w:space="0"/>
        </w:tcBorders>
      </w:tcPr>
    </w:tblStylePr>
    <w:tblStylePr w:type="swCell">
      <w:tblPr/>
      <w:tcPr>
        <w:tcBorders>
          <w:top w:val="single" w:color="D3F5E6" w:themeColor="accent6" w:themeTint="99" w:sz="4" w:space="0"/>
        </w:tcBorders>
      </w:tcPr>
    </w:tblStylePr>
  </w:style>
  <w:style w:type="character" w:styleId="Hashtag">
    <w:name w:val="Hashtag"/>
    <w:basedOn w:val="DefaultParagraphFont"/>
    <w:uiPriority w:val="99"/>
    <w:semiHidden/>
    <w:rsid w:val="00F238C5"/>
    <w:rPr>
      <w:color w:val="2B579A"/>
      <w:shd w:val="clear" w:color="auto" w:fill="E1DFDD"/>
    </w:rPr>
  </w:style>
  <w:style w:type="character" w:styleId="HTMLAcronym">
    <w:name w:val="HTML Acronym"/>
    <w:basedOn w:val="DefaultParagraphFont"/>
    <w:uiPriority w:val="99"/>
    <w:semiHidden/>
    <w:rsid w:val="00F238C5"/>
  </w:style>
  <w:style w:type="paragraph" w:styleId="HTMLAddress">
    <w:name w:val="HTML Address"/>
    <w:basedOn w:val="Normal"/>
    <w:link w:val="HTMLAddressChar"/>
    <w:uiPriority w:val="99"/>
    <w:semiHidden/>
    <w:rsid w:val="00F238C5"/>
    <w:rPr>
      <w:i/>
      <w:iCs/>
    </w:rPr>
  </w:style>
  <w:style w:type="character" w:styleId="HTMLAddressChar" w:customStyle="1">
    <w:name w:val="HTML Address Char"/>
    <w:basedOn w:val="DefaultParagraphFont"/>
    <w:link w:val="HTMLAddress"/>
    <w:uiPriority w:val="99"/>
    <w:semiHidden/>
    <w:rsid w:val="00F238C5"/>
    <w:rPr>
      <w:rFonts w:eastAsiaTheme="minorHAnsi" w:cstheme="minorBidi"/>
      <w:i/>
      <w:iCs/>
      <w:lang w:eastAsia="en-US"/>
    </w:rPr>
  </w:style>
  <w:style w:type="character" w:styleId="HTMLCite">
    <w:name w:val="HTML Cite"/>
    <w:basedOn w:val="DefaultParagraphFont"/>
    <w:uiPriority w:val="99"/>
    <w:semiHidden/>
    <w:rsid w:val="00F238C5"/>
    <w:rPr>
      <w:i/>
      <w:iCs/>
    </w:rPr>
  </w:style>
  <w:style w:type="character" w:styleId="HTMLCode">
    <w:name w:val="HTML Code"/>
    <w:basedOn w:val="DefaultParagraphFont"/>
    <w:uiPriority w:val="99"/>
    <w:semiHidden/>
    <w:rsid w:val="00F238C5"/>
    <w:rPr>
      <w:rFonts w:ascii="Consolas" w:hAnsi="Consolas"/>
      <w:sz w:val="20"/>
      <w:szCs w:val="20"/>
    </w:rPr>
  </w:style>
  <w:style w:type="character" w:styleId="HTMLDefinition">
    <w:name w:val="HTML Definition"/>
    <w:basedOn w:val="DefaultParagraphFont"/>
    <w:uiPriority w:val="99"/>
    <w:semiHidden/>
    <w:rsid w:val="00F238C5"/>
    <w:rPr>
      <w:i/>
      <w:iCs/>
    </w:rPr>
  </w:style>
  <w:style w:type="character" w:styleId="HTMLKeyboard">
    <w:name w:val="HTML Keyboard"/>
    <w:basedOn w:val="DefaultParagraphFont"/>
    <w:uiPriority w:val="99"/>
    <w:semiHidden/>
    <w:rsid w:val="00F238C5"/>
    <w:rPr>
      <w:rFonts w:ascii="Consolas" w:hAnsi="Consolas"/>
      <w:sz w:val="20"/>
      <w:szCs w:val="20"/>
    </w:rPr>
  </w:style>
  <w:style w:type="paragraph" w:styleId="HTMLPreformatted">
    <w:name w:val="HTML Preformatted"/>
    <w:basedOn w:val="Normal"/>
    <w:link w:val="HTMLPreformattedChar"/>
    <w:uiPriority w:val="99"/>
    <w:semiHidden/>
    <w:rsid w:val="00F238C5"/>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F238C5"/>
    <w:rPr>
      <w:rFonts w:ascii="Consolas" w:hAnsi="Consolas" w:eastAsiaTheme="minorHAnsi" w:cstheme="minorBidi"/>
      <w:sz w:val="20"/>
      <w:szCs w:val="20"/>
      <w:lang w:eastAsia="en-US"/>
    </w:rPr>
  </w:style>
  <w:style w:type="character" w:styleId="HTMLSample">
    <w:name w:val="HTML Sample"/>
    <w:basedOn w:val="DefaultParagraphFont"/>
    <w:uiPriority w:val="99"/>
    <w:semiHidden/>
    <w:rsid w:val="00F238C5"/>
    <w:rPr>
      <w:rFonts w:ascii="Consolas" w:hAnsi="Consolas"/>
      <w:sz w:val="24"/>
      <w:szCs w:val="24"/>
    </w:rPr>
  </w:style>
  <w:style w:type="character" w:styleId="HTMLTypewriter">
    <w:name w:val="HTML Typewriter"/>
    <w:basedOn w:val="DefaultParagraphFont"/>
    <w:uiPriority w:val="99"/>
    <w:semiHidden/>
    <w:rsid w:val="00F238C5"/>
    <w:rPr>
      <w:rFonts w:ascii="Consolas" w:hAnsi="Consolas"/>
      <w:sz w:val="20"/>
      <w:szCs w:val="20"/>
    </w:rPr>
  </w:style>
  <w:style w:type="character" w:styleId="HTMLVariable">
    <w:name w:val="HTML Variable"/>
    <w:basedOn w:val="DefaultParagraphFont"/>
    <w:uiPriority w:val="99"/>
    <w:semiHidden/>
    <w:rsid w:val="00F238C5"/>
    <w:rPr>
      <w:i/>
      <w:iCs/>
    </w:rPr>
  </w:style>
  <w:style w:type="character" w:styleId="IntenseEmphasis">
    <w:name w:val="Intense Emphasis"/>
    <w:basedOn w:val="DefaultParagraphFont"/>
    <w:uiPriority w:val="59"/>
    <w:semiHidden/>
    <w:qFormat/>
    <w:rsid w:val="00F238C5"/>
    <w:rPr>
      <w:i/>
      <w:iCs/>
      <w:color w:val="88E5BD" w:themeColor="accent1"/>
    </w:rPr>
  </w:style>
  <w:style w:type="paragraph" w:styleId="IntenseQuote">
    <w:name w:val="Intense Quote"/>
    <w:basedOn w:val="Normal"/>
    <w:next w:val="Normal"/>
    <w:link w:val="IntenseQuoteChar"/>
    <w:uiPriority w:val="59"/>
    <w:semiHidden/>
    <w:qFormat/>
    <w:rsid w:val="00F238C5"/>
    <w:pPr>
      <w:pBdr>
        <w:top w:val="single" w:color="88E5BD" w:themeColor="accent1" w:sz="4" w:space="10"/>
        <w:bottom w:val="single" w:color="88E5BD" w:themeColor="accent1" w:sz="4" w:space="10"/>
      </w:pBdr>
      <w:spacing w:before="360" w:after="360"/>
      <w:ind w:left="864" w:right="864"/>
      <w:jc w:val="center"/>
    </w:pPr>
    <w:rPr>
      <w:i/>
      <w:iCs/>
      <w:color w:val="88E5BD" w:themeColor="accent1"/>
    </w:rPr>
  </w:style>
  <w:style w:type="character" w:styleId="IntenseQuoteChar" w:customStyle="1">
    <w:name w:val="Intense Quote Char"/>
    <w:basedOn w:val="DefaultParagraphFont"/>
    <w:link w:val="IntenseQuote"/>
    <w:uiPriority w:val="59"/>
    <w:semiHidden/>
    <w:rsid w:val="00F238C5"/>
    <w:rPr>
      <w:rFonts w:eastAsiaTheme="minorHAnsi" w:cstheme="minorBidi"/>
      <w:i/>
      <w:iCs/>
      <w:color w:val="88E5BD" w:themeColor="accent1"/>
      <w:lang w:eastAsia="en-US"/>
    </w:rPr>
  </w:style>
  <w:style w:type="character" w:styleId="IntenseReference">
    <w:name w:val="Intense Reference"/>
    <w:basedOn w:val="DefaultParagraphFont"/>
    <w:uiPriority w:val="59"/>
    <w:semiHidden/>
    <w:qFormat/>
    <w:rsid w:val="00F238C5"/>
    <w:rPr>
      <w:b/>
      <w:bCs/>
      <w:smallCaps/>
      <w:color w:val="88E5BD" w:themeColor="accent1"/>
      <w:spacing w:val="5"/>
    </w:rPr>
  </w:style>
  <w:style w:type="table" w:styleId="LightGrid">
    <w:name w:val="Light Grid"/>
    <w:basedOn w:val="TableNormal"/>
    <w:uiPriority w:val="62"/>
    <w:semiHidden/>
    <w:rsid w:val="00F238C5"/>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insideH w:val="single" w:color="303030" w:themeColor="text1" w:sz="8" w:space="0"/>
        <w:insideV w:val="single" w:color="30303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03030" w:themeColor="text1" w:sz="8" w:space="0"/>
          <w:left w:val="single" w:color="303030" w:themeColor="text1" w:sz="8" w:space="0"/>
          <w:bottom w:val="single" w:color="303030" w:themeColor="text1" w:sz="18" w:space="0"/>
          <w:right w:val="single" w:color="303030" w:themeColor="text1" w:sz="8" w:space="0"/>
          <w:insideH w:val="nil"/>
          <w:insideV w:val="single" w:color="30303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03030" w:themeColor="text1" w:sz="6" w:space="0"/>
          <w:left w:val="single" w:color="303030" w:themeColor="text1" w:sz="8" w:space="0"/>
          <w:bottom w:val="single" w:color="303030" w:themeColor="text1" w:sz="8" w:space="0"/>
          <w:right w:val="single" w:color="303030" w:themeColor="text1" w:sz="8" w:space="0"/>
          <w:insideH w:val="nil"/>
          <w:insideV w:val="single" w:color="30303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03030" w:themeColor="text1" w:sz="8" w:space="0"/>
          <w:left w:val="single" w:color="303030" w:themeColor="text1" w:sz="8" w:space="0"/>
          <w:bottom w:val="single" w:color="303030" w:themeColor="text1" w:sz="8" w:space="0"/>
          <w:right w:val="single" w:color="303030" w:themeColor="text1" w:sz="8" w:space="0"/>
        </w:tcBorders>
      </w:tcPr>
    </w:tblStylePr>
    <w:tblStylePr w:type="band1Vert">
      <w:tblPr/>
      <w:tcPr>
        <w:tcBorders>
          <w:top w:val="single" w:color="303030" w:themeColor="text1" w:sz="8" w:space="0"/>
          <w:left w:val="single" w:color="303030" w:themeColor="text1" w:sz="8" w:space="0"/>
          <w:bottom w:val="single" w:color="303030" w:themeColor="text1" w:sz="8" w:space="0"/>
          <w:right w:val="single" w:color="303030" w:themeColor="text1" w:sz="8" w:space="0"/>
        </w:tcBorders>
        <w:shd w:val="clear" w:color="auto" w:fill="CBCBCB" w:themeFill="text1" w:themeFillTint="3F"/>
      </w:tcPr>
    </w:tblStylePr>
    <w:tblStylePr w:type="band1Horz">
      <w:tblPr/>
      <w:tcPr>
        <w:tcBorders>
          <w:top w:val="single" w:color="303030" w:themeColor="text1" w:sz="8" w:space="0"/>
          <w:left w:val="single" w:color="303030" w:themeColor="text1" w:sz="8" w:space="0"/>
          <w:bottom w:val="single" w:color="303030" w:themeColor="text1" w:sz="8" w:space="0"/>
          <w:right w:val="single" w:color="303030" w:themeColor="text1" w:sz="8" w:space="0"/>
          <w:insideV w:val="single" w:color="303030" w:themeColor="text1" w:sz="8" w:space="0"/>
        </w:tcBorders>
        <w:shd w:val="clear" w:color="auto" w:fill="CBCBCB" w:themeFill="text1" w:themeFillTint="3F"/>
      </w:tcPr>
    </w:tblStylePr>
    <w:tblStylePr w:type="band2Horz">
      <w:tblPr/>
      <w:tcPr>
        <w:tcBorders>
          <w:top w:val="single" w:color="303030" w:themeColor="text1" w:sz="8" w:space="0"/>
          <w:left w:val="single" w:color="303030" w:themeColor="text1" w:sz="8" w:space="0"/>
          <w:bottom w:val="single" w:color="303030" w:themeColor="text1" w:sz="8" w:space="0"/>
          <w:right w:val="single" w:color="303030" w:themeColor="text1" w:sz="8" w:space="0"/>
          <w:insideV w:val="single" w:color="303030" w:themeColor="text1" w:sz="8" w:space="0"/>
        </w:tcBorders>
      </w:tcPr>
    </w:tblStylePr>
  </w:style>
  <w:style w:type="table" w:styleId="LightGrid-Accent1">
    <w:name w:val="Light Grid Accent 1"/>
    <w:basedOn w:val="TableNormal"/>
    <w:uiPriority w:val="62"/>
    <w:semiHidden/>
    <w:rsid w:val="00F238C5"/>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insideH w:val="single" w:color="88E5BD" w:themeColor="accent1" w:sz="8" w:space="0"/>
        <w:insideV w:val="single" w:color="88E5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8E5BD" w:themeColor="accent1" w:sz="8" w:space="0"/>
          <w:left w:val="single" w:color="88E5BD" w:themeColor="accent1" w:sz="8" w:space="0"/>
          <w:bottom w:val="single" w:color="88E5BD" w:themeColor="accent1" w:sz="18" w:space="0"/>
          <w:right w:val="single" w:color="88E5BD" w:themeColor="accent1" w:sz="8" w:space="0"/>
          <w:insideH w:val="nil"/>
          <w:insideV w:val="single" w:color="88E5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8E5BD" w:themeColor="accent1" w:sz="6" w:space="0"/>
          <w:left w:val="single" w:color="88E5BD" w:themeColor="accent1" w:sz="8" w:space="0"/>
          <w:bottom w:val="single" w:color="88E5BD" w:themeColor="accent1" w:sz="8" w:space="0"/>
          <w:right w:val="single" w:color="88E5BD" w:themeColor="accent1" w:sz="8" w:space="0"/>
          <w:insideH w:val="nil"/>
          <w:insideV w:val="single" w:color="88E5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tcPr>
    </w:tblStylePr>
    <w:tblStylePr w:type="band1Vert">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shd w:val="clear" w:color="auto" w:fill="E1F8EE" w:themeFill="accent1" w:themeFillTint="3F"/>
      </w:tcPr>
    </w:tblStylePr>
    <w:tblStylePr w:type="band1Horz">
      <w:tblPr/>
      <w:tcPr>
        <w:tcBorders>
          <w:top w:val="single" w:color="88E5BD" w:themeColor="accent1" w:sz="8" w:space="0"/>
          <w:left w:val="single" w:color="88E5BD" w:themeColor="accent1" w:sz="8" w:space="0"/>
          <w:bottom w:val="single" w:color="88E5BD" w:themeColor="accent1" w:sz="8" w:space="0"/>
          <w:right w:val="single" w:color="88E5BD" w:themeColor="accent1" w:sz="8" w:space="0"/>
          <w:insideV w:val="single" w:color="88E5BD" w:themeColor="accent1" w:sz="8" w:space="0"/>
        </w:tcBorders>
        <w:shd w:val="clear" w:color="auto" w:fill="E1F8EE" w:themeFill="accent1" w:themeFillTint="3F"/>
      </w:tcPr>
    </w:tblStylePr>
    <w:tblStylePr w:type="band2Horz">
      <w:tblPr/>
      <w:tcPr>
        <w:tcBorders>
          <w:top w:val="single" w:color="88E5BD" w:themeColor="accent1" w:sz="8" w:space="0"/>
          <w:left w:val="single" w:color="88E5BD" w:themeColor="accent1" w:sz="8" w:space="0"/>
          <w:bottom w:val="single" w:color="88E5BD" w:themeColor="accent1" w:sz="8" w:space="0"/>
          <w:right w:val="single" w:color="88E5BD" w:themeColor="accent1" w:sz="8" w:space="0"/>
          <w:insideV w:val="single" w:color="88E5BD" w:themeColor="accent1" w:sz="8" w:space="0"/>
        </w:tcBorders>
      </w:tcPr>
    </w:tblStylePr>
  </w:style>
  <w:style w:type="table" w:styleId="LightGrid-Accent2">
    <w:name w:val="Light Grid Accent 2"/>
    <w:basedOn w:val="TableNormal"/>
    <w:uiPriority w:val="62"/>
    <w:semiHidden/>
    <w:rsid w:val="00F238C5"/>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insideH w:val="single" w:color="53C2E5" w:themeColor="accent2" w:sz="8" w:space="0"/>
        <w:insideV w:val="single" w:color="53C2E5"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3C2E5" w:themeColor="accent2" w:sz="8" w:space="0"/>
          <w:left w:val="single" w:color="53C2E5" w:themeColor="accent2" w:sz="8" w:space="0"/>
          <w:bottom w:val="single" w:color="53C2E5" w:themeColor="accent2" w:sz="18" w:space="0"/>
          <w:right w:val="single" w:color="53C2E5" w:themeColor="accent2" w:sz="8" w:space="0"/>
          <w:insideH w:val="nil"/>
          <w:insideV w:val="single" w:color="53C2E5"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3C2E5" w:themeColor="accent2" w:sz="6" w:space="0"/>
          <w:left w:val="single" w:color="53C2E5" w:themeColor="accent2" w:sz="8" w:space="0"/>
          <w:bottom w:val="single" w:color="53C2E5" w:themeColor="accent2" w:sz="8" w:space="0"/>
          <w:right w:val="single" w:color="53C2E5" w:themeColor="accent2" w:sz="8" w:space="0"/>
          <w:insideH w:val="nil"/>
          <w:insideV w:val="single" w:color="53C2E5"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tcPr>
    </w:tblStylePr>
    <w:tblStylePr w:type="band1Vert">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shd w:val="clear" w:color="auto" w:fill="D4EFF8" w:themeFill="accent2" w:themeFillTint="3F"/>
      </w:tcPr>
    </w:tblStylePr>
    <w:tblStylePr w:type="band1Horz">
      <w:tblPr/>
      <w:tcPr>
        <w:tcBorders>
          <w:top w:val="single" w:color="53C2E5" w:themeColor="accent2" w:sz="8" w:space="0"/>
          <w:left w:val="single" w:color="53C2E5" w:themeColor="accent2" w:sz="8" w:space="0"/>
          <w:bottom w:val="single" w:color="53C2E5" w:themeColor="accent2" w:sz="8" w:space="0"/>
          <w:right w:val="single" w:color="53C2E5" w:themeColor="accent2" w:sz="8" w:space="0"/>
          <w:insideV w:val="single" w:color="53C2E5" w:themeColor="accent2" w:sz="8" w:space="0"/>
        </w:tcBorders>
        <w:shd w:val="clear" w:color="auto" w:fill="D4EFF8" w:themeFill="accent2" w:themeFillTint="3F"/>
      </w:tcPr>
    </w:tblStylePr>
    <w:tblStylePr w:type="band2Horz">
      <w:tblPr/>
      <w:tcPr>
        <w:tcBorders>
          <w:top w:val="single" w:color="53C2E5" w:themeColor="accent2" w:sz="8" w:space="0"/>
          <w:left w:val="single" w:color="53C2E5" w:themeColor="accent2" w:sz="8" w:space="0"/>
          <w:bottom w:val="single" w:color="53C2E5" w:themeColor="accent2" w:sz="8" w:space="0"/>
          <w:right w:val="single" w:color="53C2E5" w:themeColor="accent2" w:sz="8" w:space="0"/>
          <w:insideV w:val="single" w:color="53C2E5" w:themeColor="accent2" w:sz="8" w:space="0"/>
        </w:tcBorders>
      </w:tcPr>
    </w:tblStylePr>
  </w:style>
  <w:style w:type="table" w:styleId="LightGrid-Accent3">
    <w:name w:val="Light Grid Accent 3"/>
    <w:basedOn w:val="TableNormal"/>
    <w:uiPriority w:val="62"/>
    <w:semiHidden/>
    <w:rsid w:val="00F238C5"/>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insideH w:val="single" w:color="8996F4" w:themeColor="accent3" w:sz="8" w:space="0"/>
        <w:insideV w:val="single" w:color="8996F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996F4" w:themeColor="accent3" w:sz="8" w:space="0"/>
          <w:left w:val="single" w:color="8996F4" w:themeColor="accent3" w:sz="8" w:space="0"/>
          <w:bottom w:val="single" w:color="8996F4" w:themeColor="accent3" w:sz="18" w:space="0"/>
          <w:right w:val="single" w:color="8996F4" w:themeColor="accent3" w:sz="8" w:space="0"/>
          <w:insideH w:val="nil"/>
          <w:insideV w:val="single" w:color="8996F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996F4" w:themeColor="accent3" w:sz="6" w:space="0"/>
          <w:left w:val="single" w:color="8996F4" w:themeColor="accent3" w:sz="8" w:space="0"/>
          <w:bottom w:val="single" w:color="8996F4" w:themeColor="accent3" w:sz="8" w:space="0"/>
          <w:right w:val="single" w:color="8996F4" w:themeColor="accent3" w:sz="8" w:space="0"/>
          <w:insideH w:val="nil"/>
          <w:insideV w:val="single" w:color="8996F4"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tcPr>
    </w:tblStylePr>
    <w:tblStylePr w:type="band1Vert">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shd w:val="clear" w:color="auto" w:fill="E1E4FC" w:themeFill="accent3" w:themeFillTint="3F"/>
      </w:tcPr>
    </w:tblStylePr>
    <w:tblStylePr w:type="band1Horz">
      <w:tblPr/>
      <w:tcPr>
        <w:tcBorders>
          <w:top w:val="single" w:color="8996F4" w:themeColor="accent3" w:sz="8" w:space="0"/>
          <w:left w:val="single" w:color="8996F4" w:themeColor="accent3" w:sz="8" w:space="0"/>
          <w:bottom w:val="single" w:color="8996F4" w:themeColor="accent3" w:sz="8" w:space="0"/>
          <w:right w:val="single" w:color="8996F4" w:themeColor="accent3" w:sz="8" w:space="0"/>
          <w:insideV w:val="single" w:color="8996F4" w:themeColor="accent3" w:sz="8" w:space="0"/>
        </w:tcBorders>
        <w:shd w:val="clear" w:color="auto" w:fill="E1E4FC" w:themeFill="accent3" w:themeFillTint="3F"/>
      </w:tcPr>
    </w:tblStylePr>
    <w:tblStylePr w:type="band2Horz">
      <w:tblPr/>
      <w:tcPr>
        <w:tcBorders>
          <w:top w:val="single" w:color="8996F4" w:themeColor="accent3" w:sz="8" w:space="0"/>
          <w:left w:val="single" w:color="8996F4" w:themeColor="accent3" w:sz="8" w:space="0"/>
          <w:bottom w:val="single" w:color="8996F4" w:themeColor="accent3" w:sz="8" w:space="0"/>
          <w:right w:val="single" w:color="8996F4" w:themeColor="accent3" w:sz="8" w:space="0"/>
          <w:insideV w:val="single" w:color="8996F4" w:themeColor="accent3" w:sz="8" w:space="0"/>
        </w:tcBorders>
      </w:tcPr>
    </w:tblStylePr>
  </w:style>
  <w:style w:type="table" w:styleId="LightGrid-Accent4">
    <w:name w:val="Light Grid Accent 4"/>
    <w:basedOn w:val="TableNormal"/>
    <w:uiPriority w:val="62"/>
    <w:semiHidden/>
    <w:rsid w:val="00F238C5"/>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insideH w:val="single" w:color="EAA4EA" w:themeColor="accent4" w:sz="8" w:space="0"/>
        <w:insideV w:val="single" w:color="EAA4EA"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AA4EA" w:themeColor="accent4" w:sz="8" w:space="0"/>
          <w:left w:val="single" w:color="EAA4EA" w:themeColor="accent4" w:sz="8" w:space="0"/>
          <w:bottom w:val="single" w:color="EAA4EA" w:themeColor="accent4" w:sz="18" w:space="0"/>
          <w:right w:val="single" w:color="EAA4EA" w:themeColor="accent4" w:sz="8" w:space="0"/>
          <w:insideH w:val="nil"/>
          <w:insideV w:val="single" w:color="EAA4E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AA4EA" w:themeColor="accent4" w:sz="6" w:space="0"/>
          <w:left w:val="single" w:color="EAA4EA" w:themeColor="accent4" w:sz="8" w:space="0"/>
          <w:bottom w:val="single" w:color="EAA4EA" w:themeColor="accent4" w:sz="8" w:space="0"/>
          <w:right w:val="single" w:color="EAA4EA" w:themeColor="accent4" w:sz="8" w:space="0"/>
          <w:insideH w:val="nil"/>
          <w:insideV w:val="single" w:color="EAA4E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tcPr>
    </w:tblStylePr>
    <w:tblStylePr w:type="band1Vert">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shd w:val="clear" w:color="auto" w:fill="F9E8F9" w:themeFill="accent4" w:themeFillTint="3F"/>
      </w:tcPr>
    </w:tblStylePr>
    <w:tblStylePr w:type="band1Horz">
      <w:tblPr/>
      <w:tcPr>
        <w:tcBorders>
          <w:top w:val="single" w:color="EAA4EA" w:themeColor="accent4" w:sz="8" w:space="0"/>
          <w:left w:val="single" w:color="EAA4EA" w:themeColor="accent4" w:sz="8" w:space="0"/>
          <w:bottom w:val="single" w:color="EAA4EA" w:themeColor="accent4" w:sz="8" w:space="0"/>
          <w:right w:val="single" w:color="EAA4EA" w:themeColor="accent4" w:sz="8" w:space="0"/>
          <w:insideV w:val="single" w:color="EAA4EA" w:themeColor="accent4" w:sz="8" w:space="0"/>
        </w:tcBorders>
        <w:shd w:val="clear" w:color="auto" w:fill="F9E8F9" w:themeFill="accent4" w:themeFillTint="3F"/>
      </w:tcPr>
    </w:tblStylePr>
    <w:tblStylePr w:type="band2Horz">
      <w:tblPr/>
      <w:tcPr>
        <w:tcBorders>
          <w:top w:val="single" w:color="EAA4EA" w:themeColor="accent4" w:sz="8" w:space="0"/>
          <w:left w:val="single" w:color="EAA4EA" w:themeColor="accent4" w:sz="8" w:space="0"/>
          <w:bottom w:val="single" w:color="EAA4EA" w:themeColor="accent4" w:sz="8" w:space="0"/>
          <w:right w:val="single" w:color="EAA4EA" w:themeColor="accent4" w:sz="8" w:space="0"/>
          <w:insideV w:val="single" w:color="EAA4EA" w:themeColor="accent4" w:sz="8" w:space="0"/>
        </w:tcBorders>
      </w:tcPr>
    </w:tblStylePr>
  </w:style>
  <w:style w:type="table" w:styleId="LightGrid-Accent5">
    <w:name w:val="Light Grid Accent 5"/>
    <w:basedOn w:val="TableNormal"/>
    <w:uiPriority w:val="62"/>
    <w:semiHidden/>
    <w:rsid w:val="00F238C5"/>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insideH w:val="single" w:color="FD969C" w:themeColor="accent5" w:sz="8" w:space="0"/>
        <w:insideV w:val="single" w:color="FD969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D969C" w:themeColor="accent5" w:sz="8" w:space="0"/>
          <w:left w:val="single" w:color="FD969C" w:themeColor="accent5" w:sz="8" w:space="0"/>
          <w:bottom w:val="single" w:color="FD969C" w:themeColor="accent5" w:sz="18" w:space="0"/>
          <w:right w:val="single" w:color="FD969C" w:themeColor="accent5" w:sz="8" w:space="0"/>
          <w:insideH w:val="nil"/>
          <w:insideV w:val="single" w:color="FD969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D969C" w:themeColor="accent5" w:sz="6" w:space="0"/>
          <w:left w:val="single" w:color="FD969C" w:themeColor="accent5" w:sz="8" w:space="0"/>
          <w:bottom w:val="single" w:color="FD969C" w:themeColor="accent5" w:sz="8" w:space="0"/>
          <w:right w:val="single" w:color="FD969C" w:themeColor="accent5" w:sz="8" w:space="0"/>
          <w:insideH w:val="nil"/>
          <w:insideV w:val="single" w:color="FD969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tcPr>
    </w:tblStylePr>
    <w:tblStylePr w:type="band1Vert">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shd w:val="clear" w:color="auto" w:fill="FEE4E6" w:themeFill="accent5" w:themeFillTint="3F"/>
      </w:tcPr>
    </w:tblStylePr>
    <w:tblStylePr w:type="band1Horz">
      <w:tblPr/>
      <w:tcPr>
        <w:tcBorders>
          <w:top w:val="single" w:color="FD969C" w:themeColor="accent5" w:sz="8" w:space="0"/>
          <w:left w:val="single" w:color="FD969C" w:themeColor="accent5" w:sz="8" w:space="0"/>
          <w:bottom w:val="single" w:color="FD969C" w:themeColor="accent5" w:sz="8" w:space="0"/>
          <w:right w:val="single" w:color="FD969C" w:themeColor="accent5" w:sz="8" w:space="0"/>
          <w:insideV w:val="single" w:color="FD969C" w:themeColor="accent5" w:sz="8" w:space="0"/>
        </w:tcBorders>
        <w:shd w:val="clear" w:color="auto" w:fill="FEE4E6" w:themeFill="accent5" w:themeFillTint="3F"/>
      </w:tcPr>
    </w:tblStylePr>
    <w:tblStylePr w:type="band2Horz">
      <w:tblPr/>
      <w:tcPr>
        <w:tcBorders>
          <w:top w:val="single" w:color="FD969C" w:themeColor="accent5" w:sz="8" w:space="0"/>
          <w:left w:val="single" w:color="FD969C" w:themeColor="accent5" w:sz="8" w:space="0"/>
          <w:bottom w:val="single" w:color="FD969C" w:themeColor="accent5" w:sz="8" w:space="0"/>
          <w:right w:val="single" w:color="FD969C" w:themeColor="accent5" w:sz="8" w:space="0"/>
          <w:insideV w:val="single" w:color="FD969C" w:themeColor="accent5" w:sz="8" w:space="0"/>
        </w:tcBorders>
      </w:tcPr>
    </w:tblStylePr>
  </w:style>
  <w:style w:type="table" w:styleId="LightGrid-Accent6">
    <w:name w:val="Light Grid Accent 6"/>
    <w:basedOn w:val="TableNormal"/>
    <w:uiPriority w:val="62"/>
    <w:semiHidden/>
    <w:rsid w:val="00F238C5"/>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insideH w:val="single" w:color="B7EFD7" w:themeColor="accent6" w:sz="8" w:space="0"/>
        <w:insideV w:val="single" w:color="B7EFD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7EFD7" w:themeColor="accent6" w:sz="8" w:space="0"/>
          <w:left w:val="single" w:color="B7EFD7" w:themeColor="accent6" w:sz="8" w:space="0"/>
          <w:bottom w:val="single" w:color="B7EFD7" w:themeColor="accent6" w:sz="18" w:space="0"/>
          <w:right w:val="single" w:color="B7EFD7" w:themeColor="accent6" w:sz="8" w:space="0"/>
          <w:insideH w:val="nil"/>
          <w:insideV w:val="single" w:color="B7EFD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7EFD7" w:themeColor="accent6" w:sz="6" w:space="0"/>
          <w:left w:val="single" w:color="B7EFD7" w:themeColor="accent6" w:sz="8" w:space="0"/>
          <w:bottom w:val="single" w:color="B7EFD7" w:themeColor="accent6" w:sz="8" w:space="0"/>
          <w:right w:val="single" w:color="B7EFD7" w:themeColor="accent6" w:sz="8" w:space="0"/>
          <w:insideH w:val="nil"/>
          <w:insideV w:val="single" w:color="B7EFD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tcPr>
    </w:tblStylePr>
    <w:tblStylePr w:type="band1Vert">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shd w:val="clear" w:color="auto" w:fill="EDFBF4" w:themeFill="accent6" w:themeFillTint="3F"/>
      </w:tcPr>
    </w:tblStylePr>
    <w:tblStylePr w:type="band1Horz">
      <w:tblPr/>
      <w:tcPr>
        <w:tcBorders>
          <w:top w:val="single" w:color="B7EFD7" w:themeColor="accent6" w:sz="8" w:space="0"/>
          <w:left w:val="single" w:color="B7EFD7" w:themeColor="accent6" w:sz="8" w:space="0"/>
          <w:bottom w:val="single" w:color="B7EFD7" w:themeColor="accent6" w:sz="8" w:space="0"/>
          <w:right w:val="single" w:color="B7EFD7" w:themeColor="accent6" w:sz="8" w:space="0"/>
          <w:insideV w:val="single" w:color="B7EFD7" w:themeColor="accent6" w:sz="8" w:space="0"/>
        </w:tcBorders>
        <w:shd w:val="clear" w:color="auto" w:fill="EDFBF4" w:themeFill="accent6" w:themeFillTint="3F"/>
      </w:tcPr>
    </w:tblStylePr>
    <w:tblStylePr w:type="band2Horz">
      <w:tblPr/>
      <w:tcPr>
        <w:tcBorders>
          <w:top w:val="single" w:color="B7EFD7" w:themeColor="accent6" w:sz="8" w:space="0"/>
          <w:left w:val="single" w:color="B7EFD7" w:themeColor="accent6" w:sz="8" w:space="0"/>
          <w:bottom w:val="single" w:color="B7EFD7" w:themeColor="accent6" w:sz="8" w:space="0"/>
          <w:right w:val="single" w:color="B7EFD7" w:themeColor="accent6" w:sz="8" w:space="0"/>
          <w:insideV w:val="single" w:color="B7EFD7" w:themeColor="accent6" w:sz="8" w:space="0"/>
        </w:tcBorders>
      </w:tcPr>
    </w:tblStylePr>
  </w:style>
  <w:style w:type="table" w:styleId="LightList">
    <w:name w:val="Light List"/>
    <w:basedOn w:val="TableNormal"/>
    <w:uiPriority w:val="61"/>
    <w:semiHidden/>
    <w:rsid w:val="00F238C5"/>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tblBorders>
    </w:tblPr>
    <w:tblStylePr w:type="firstRow">
      <w:pPr>
        <w:spacing w:before="0" w:after="0" w:line="240" w:lineRule="auto"/>
      </w:pPr>
      <w:rPr>
        <w:b/>
        <w:bCs/>
        <w:color w:val="FFFFFF" w:themeColor="background1"/>
      </w:rPr>
      <w:tblPr/>
      <w:tcPr>
        <w:shd w:val="clear" w:color="auto" w:fill="303030" w:themeFill="text1"/>
      </w:tcPr>
    </w:tblStylePr>
    <w:tblStylePr w:type="lastRow">
      <w:pPr>
        <w:spacing w:before="0" w:after="0" w:line="240" w:lineRule="auto"/>
      </w:pPr>
      <w:rPr>
        <w:b/>
        <w:bCs/>
      </w:rPr>
      <w:tblPr/>
      <w:tcPr>
        <w:tcBorders>
          <w:top w:val="double" w:color="303030" w:themeColor="text1" w:sz="6" w:space="0"/>
          <w:left w:val="single" w:color="303030" w:themeColor="text1" w:sz="8" w:space="0"/>
          <w:bottom w:val="single" w:color="303030" w:themeColor="text1" w:sz="8" w:space="0"/>
          <w:right w:val="single" w:color="303030" w:themeColor="text1" w:sz="8" w:space="0"/>
        </w:tcBorders>
      </w:tcPr>
    </w:tblStylePr>
    <w:tblStylePr w:type="firstCol">
      <w:rPr>
        <w:b/>
        <w:bCs/>
      </w:rPr>
    </w:tblStylePr>
    <w:tblStylePr w:type="lastCol">
      <w:rPr>
        <w:b/>
        <w:bCs/>
      </w:rPr>
    </w:tblStylePr>
    <w:tblStylePr w:type="band1Vert">
      <w:tblPr/>
      <w:tcPr>
        <w:tcBorders>
          <w:top w:val="single" w:color="303030" w:themeColor="text1" w:sz="8" w:space="0"/>
          <w:left w:val="single" w:color="303030" w:themeColor="text1" w:sz="8" w:space="0"/>
          <w:bottom w:val="single" w:color="303030" w:themeColor="text1" w:sz="8" w:space="0"/>
          <w:right w:val="single" w:color="303030" w:themeColor="text1" w:sz="8" w:space="0"/>
        </w:tcBorders>
      </w:tcPr>
    </w:tblStylePr>
    <w:tblStylePr w:type="band1Horz">
      <w:tblPr/>
      <w:tcPr>
        <w:tcBorders>
          <w:top w:val="single" w:color="303030" w:themeColor="text1" w:sz="8" w:space="0"/>
          <w:left w:val="single" w:color="303030" w:themeColor="text1" w:sz="8" w:space="0"/>
          <w:bottom w:val="single" w:color="303030" w:themeColor="text1" w:sz="8" w:space="0"/>
          <w:right w:val="single" w:color="303030" w:themeColor="text1" w:sz="8" w:space="0"/>
        </w:tcBorders>
      </w:tcPr>
    </w:tblStylePr>
  </w:style>
  <w:style w:type="table" w:styleId="LightList-Accent1">
    <w:name w:val="Light List Accent 1"/>
    <w:basedOn w:val="TableNormal"/>
    <w:uiPriority w:val="61"/>
    <w:semiHidden/>
    <w:rsid w:val="00F238C5"/>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tblBorders>
    </w:tblPr>
    <w:tblStylePr w:type="firstRow">
      <w:pPr>
        <w:spacing w:before="0" w:after="0" w:line="240" w:lineRule="auto"/>
      </w:pPr>
      <w:rPr>
        <w:b/>
        <w:bCs/>
        <w:color w:val="FFFFFF" w:themeColor="background1"/>
      </w:rPr>
      <w:tblPr/>
      <w:tcPr>
        <w:shd w:val="clear" w:color="auto" w:fill="88E5BD" w:themeFill="accent1"/>
      </w:tcPr>
    </w:tblStylePr>
    <w:tblStylePr w:type="lastRow">
      <w:pPr>
        <w:spacing w:before="0" w:after="0" w:line="240" w:lineRule="auto"/>
      </w:pPr>
      <w:rPr>
        <w:b/>
        <w:bCs/>
      </w:rPr>
      <w:tblPr/>
      <w:tcPr>
        <w:tcBorders>
          <w:top w:val="double" w:color="88E5BD" w:themeColor="accent1" w:sz="6" w:space="0"/>
          <w:left w:val="single" w:color="88E5BD" w:themeColor="accent1" w:sz="8" w:space="0"/>
          <w:bottom w:val="single" w:color="88E5BD" w:themeColor="accent1" w:sz="8" w:space="0"/>
          <w:right w:val="single" w:color="88E5BD" w:themeColor="accent1" w:sz="8" w:space="0"/>
        </w:tcBorders>
      </w:tcPr>
    </w:tblStylePr>
    <w:tblStylePr w:type="firstCol">
      <w:rPr>
        <w:b/>
        <w:bCs/>
      </w:rPr>
    </w:tblStylePr>
    <w:tblStylePr w:type="lastCol">
      <w:rPr>
        <w:b/>
        <w:bCs/>
      </w:rPr>
    </w:tblStylePr>
    <w:tblStylePr w:type="band1Vert">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tcPr>
    </w:tblStylePr>
    <w:tblStylePr w:type="band1Horz">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tcPr>
    </w:tblStylePr>
  </w:style>
  <w:style w:type="table" w:styleId="LightList-Accent2">
    <w:name w:val="Light List Accent 2"/>
    <w:basedOn w:val="TableNormal"/>
    <w:uiPriority w:val="61"/>
    <w:semiHidden/>
    <w:rsid w:val="00F238C5"/>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tblBorders>
    </w:tblPr>
    <w:tblStylePr w:type="firstRow">
      <w:pPr>
        <w:spacing w:before="0" w:after="0" w:line="240" w:lineRule="auto"/>
      </w:pPr>
      <w:rPr>
        <w:b/>
        <w:bCs/>
        <w:color w:val="FFFFFF" w:themeColor="background1"/>
      </w:rPr>
      <w:tblPr/>
      <w:tcPr>
        <w:shd w:val="clear" w:color="auto" w:fill="53C2E5" w:themeFill="accent2"/>
      </w:tcPr>
    </w:tblStylePr>
    <w:tblStylePr w:type="lastRow">
      <w:pPr>
        <w:spacing w:before="0" w:after="0" w:line="240" w:lineRule="auto"/>
      </w:pPr>
      <w:rPr>
        <w:b/>
        <w:bCs/>
      </w:rPr>
      <w:tblPr/>
      <w:tcPr>
        <w:tcBorders>
          <w:top w:val="double" w:color="53C2E5" w:themeColor="accent2" w:sz="6" w:space="0"/>
          <w:left w:val="single" w:color="53C2E5" w:themeColor="accent2" w:sz="8" w:space="0"/>
          <w:bottom w:val="single" w:color="53C2E5" w:themeColor="accent2" w:sz="8" w:space="0"/>
          <w:right w:val="single" w:color="53C2E5" w:themeColor="accent2" w:sz="8" w:space="0"/>
        </w:tcBorders>
      </w:tcPr>
    </w:tblStylePr>
    <w:tblStylePr w:type="firstCol">
      <w:rPr>
        <w:b/>
        <w:bCs/>
      </w:rPr>
    </w:tblStylePr>
    <w:tblStylePr w:type="lastCol">
      <w:rPr>
        <w:b/>
        <w:bCs/>
      </w:rPr>
    </w:tblStylePr>
    <w:tblStylePr w:type="band1Vert">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tcPr>
    </w:tblStylePr>
    <w:tblStylePr w:type="band1Horz">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tcPr>
    </w:tblStylePr>
  </w:style>
  <w:style w:type="table" w:styleId="LightList-Accent3">
    <w:name w:val="Light List Accent 3"/>
    <w:basedOn w:val="TableNormal"/>
    <w:uiPriority w:val="61"/>
    <w:semiHidden/>
    <w:rsid w:val="00F238C5"/>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tblBorders>
    </w:tblPr>
    <w:tblStylePr w:type="firstRow">
      <w:pPr>
        <w:spacing w:before="0" w:after="0" w:line="240" w:lineRule="auto"/>
      </w:pPr>
      <w:rPr>
        <w:b/>
        <w:bCs/>
        <w:color w:val="FFFFFF" w:themeColor="background1"/>
      </w:rPr>
      <w:tblPr/>
      <w:tcPr>
        <w:shd w:val="clear" w:color="auto" w:fill="8996F4" w:themeFill="accent3"/>
      </w:tcPr>
    </w:tblStylePr>
    <w:tblStylePr w:type="lastRow">
      <w:pPr>
        <w:spacing w:before="0" w:after="0" w:line="240" w:lineRule="auto"/>
      </w:pPr>
      <w:rPr>
        <w:b/>
        <w:bCs/>
      </w:rPr>
      <w:tblPr/>
      <w:tcPr>
        <w:tcBorders>
          <w:top w:val="double" w:color="8996F4" w:themeColor="accent3" w:sz="6" w:space="0"/>
          <w:left w:val="single" w:color="8996F4" w:themeColor="accent3" w:sz="8" w:space="0"/>
          <w:bottom w:val="single" w:color="8996F4" w:themeColor="accent3" w:sz="8" w:space="0"/>
          <w:right w:val="single" w:color="8996F4" w:themeColor="accent3" w:sz="8" w:space="0"/>
        </w:tcBorders>
      </w:tcPr>
    </w:tblStylePr>
    <w:tblStylePr w:type="firstCol">
      <w:rPr>
        <w:b/>
        <w:bCs/>
      </w:rPr>
    </w:tblStylePr>
    <w:tblStylePr w:type="lastCol">
      <w:rPr>
        <w:b/>
        <w:bCs/>
      </w:rPr>
    </w:tblStylePr>
    <w:tblStylePr w:type="band1Vert">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tcPr>
    </w:tblStylePr>
    <w:tblStylePr w:type="band1Horz">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tcPr>
    </w:tblStylePr>
  </w:style>
  <w:style w:type="table" w:styleId="LightList-Accent4">
    <w:name w:val="Light List Accent 4"/>
    <w:basedOn w:val="TableNormal"/>
    <w:uiPriority w:val="61"/>
    <w:semiHidden/>
    <w:rsid w:val="00F238C5"/>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tblBorders>
    </w:tblPr>
    <w:tblStylePr w:type="firstRow">
      <w:pPr>
        <w:spacing w:before="0" w:after="0" w:line="240" w:lineRule="auto"/>
      </w:pPr>
      <w:rPr>
        <w:b/>
        <w:bCs/>
        <w:color w:val="FFFFFF" w:themeColor="background1"/>
      </w:rPr>
      <w:tblPr/>
      <w:tcPr>
        <w:shd w:val="clear" w:color="auto" w:fill="EAA4EA" w:themeFill="accent4"/>
      </w:tcPr>
    </w:tblStylePr>
    <w:tblStylePr w:type="lastRow">
      <w:pPr>
        <w:spacing w:before="0" w:after="0" w:line="240" w:lineRule="auto"/>
      </w:pPr>
      <w:rPr>
        <w:b/>
        <w:bCs/>
      </w:rPr>
      <w:tblPr/>
      <w:tcPr>
        <w:tcBorders>
          <w:top w:val="double" w:color="EAA4EA" w:themeColor="accent4" w:sz="6" w:space="0"/>
          <w:left w:val="single" w:color="EAA4EA" w:themeColor="accent4" w:sz="8" w:space="0"/>
          <w:bottom w:val="single" w:color="EAA4EA" w:themeColor="accent4" w:sz="8" w:space="0"/>
          <w:right w:val="single" w:color="EAA4EA" w:themeColor="accent4" w:sz="8" w:space="0"/>
        </w:tcBorders>
      </w:tcPr>
    </w:tblStylePr>
    <w:tblStylePr w:type="firstCol">
      <w:rPr>
        <w:b/>
        <w:bCs/>
      </w:rPr>
    </w:tblStylePr>
    <w:tblStylePr w:type="lastCol">
      <w:rPr>
        <w:b/>
        <w:bCs/>
      </w:rPr>
    </w:tblStylePr>
    <w:tblStylePr w:type="band1Vert">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tcPr>
    </w:tblStylePr>
    <w:tblStylePr w:type="band1Horz">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tcPr>
    </w:tblStylePr>
  </w:style>
  <w:style w:type="table" w:styleId="LightList-Accent5">
    <w:name w:val="Light List Accent 5"/>
    <w:basedOn w:val="TableNormal"/>
    <w:uiPriority w:val="61"/>
    <w:semiHidden/>
    <w:rsid w:val="00F238C5"/>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tblBorders>
    </w:tblPr>
    <w:tblStylePr w:type="firstRow">
      <w:pPr>
        <w:spacing w:before="0" w:after="0" w:line="240" w:lineRule="auto"/>
      </w:pPr>
      <w:rPr>
        <w:b/>
        <w:bCs/>
        <w:color w:val="FFFFFF" w:themeColor="background1"/>
      </w:rPr>
      <w:tblPr/>
      <w:tcPr>
        <w:shd w:val="clear" w:color="auto" w:fill="FD969C" w:themeFill="accent5"/>
      </w:tcPr>
    </w:tblStylePr>
    <w:tblStylePr w:type="lastRow">
      <w:pPr>
        <w:spacing w:before="0" w:after="0" w:line="240" w:lineRule="auto"/>
      </w:pPr>
      <w:rPr>
        <w:b/>
        <w:bCs/>
      </w:rPr>
      <w:tblPr/>
      <w:tcPr>
        <w:tcBorders>
          <w:top w:val="double" w:color="FD969C" w:themeColor="accent5" w:sz="6" w:space="0"/>
          <w:left w:val="single" w:color="FD969C" w:themeColor="accent5" w:sz="8" w:space="0"/>
          <w:bottom w:val="single" w:color="FD969C" w:themeColor="accent5" w:sz="8" w:space="0"/>
          <w:right w:val="single" w:color="FD969C" w:themeColor="accent5" w:sz="8" w:space="0"/>
        </w:tcBorders>
      </w:tcPr>
    </w:tblStylePr>
    <w:tblStylePr w:type="firstCol">
      <w:rPr>
        <w:b/>
        <w:bCs/>
      </w:rPr>
    </w:tblStylePr>
    <w:tblStylePr w:type="lastCol">
      <w:rPr>
        <w:b/>
        <w:bCs/>
      </w:rPr>
    </w:tblStylePr>
    <w:tblStylePr w:type="band1Vert">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tcPr>
    </w:tblStylePr>
    <w:tblStylePr w:type="band1Horz">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tcPr>
    </w:tblStylePr>
  </w:style>
  <w:style w:type="table" w:styleId="LightList-Accent6">
    <w:name w:val="Light List Accent 6"/>
    <w:basedOn w:val="TableNormal"/>
    <w:uiPriority w:val="61"/>
    <w:semiHidden/>
    <w:rsid w:val="00F238C5"/>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tblBorders>
    </w:tblPr>
    <w:tblStylePr w:type="firstRow">
      <w:pPr>
        <w:spacing w:before="0" w:after="0" w:line="240" w:lineRule="auto"/>
      </w:pPr>
      <w:rPr>
        <w:b/>
        <w:bCs/>
        <w:color w:val="FFFFFF" w:themeColor="background1"/>
      </w:rPr>
      <w:tblPr/>
      <w:tcPr>
        <w:shd w:val="clear" w:color="auto" w:fill="B7EFD7" w:themeFill="accent6"/>
      </w:tcPr>
    </w:tblStylePr>
    <w:tblStylePr w:type="lastRow">
      <w:pPr>
        <w:spacing w:before="0" w:after="0" w:line="240" w:lineRule="auto"/>
      </w:pPr>
      <w:rPr>
        <w:b/>
        <w:bCs/>
      </w:rPr>
      <w:tblPr/>
      <w:tcPr>
        <w:tcBorders>
          <w:top w:val="double" w:color="B7EFD7" w:themeColor="accent6" w:sz="6" w:space="0"/>
          <w:left w:val="single" w:color="B7EFD7" w:themeColor="accent6" w:sz="8" w:space="0"/>
          <w:bottom w:val="single" w:color="B7EFD7" w:themeColor="accent6" w:sz="8" w:space="0"/>
          <w:right w:val="single" w:color="B7EFD7" w:themeColor="accent6" w:sz="8" w:space="0"/>
        </w:tcBorders>
      </w:tcPr>
    </w:tblStylePr>
    <w:tblStylePr w:type="firstCol">
      <w:rPr>
        <w:b/>
        <w:bCs/>
      </w:rPr>
    </w:tblStylePr>
    <w:tblStylePr w:type="lastCol">
      <w:rPr>
        <w:b/>
        <w:bCs/>
      </w:rPr>
    </w:tblStylePr>
    <w:tblStylePr w:type="band1Vert">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tcPr>
    </w:tblStylePr>
    <w:tblStylePr w:type="band1Horz">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tcPr>
    </w:tblStylePr>
  </w:style>
  <w:style w:type="table" w:styleId="LightShading">
    <w:name w:val="Light Shading"/>
    <w:basedOn w:val="TableNormal"/>
    <w:uiPriority w:val="60"/>
    <w:semiHidden/>
    <w:rsid w:val="00F238C5"/>
    <w:rPr>
      <w:color w:val="232323" w:themeColor="text1" w:themeShade="BF"/>
    </w:rPr>
    <w:tblPr>
      <w:tblStyleRowBandSize w:val="1"/>
      <w:tblStyleColBandSize w:val="1"/>
      <w:tblBorders>
        <w:top w:val="single" w:color="303030" w:themeColor="text1" w:sz="8" w:space="0"/>
        <w:bottom w:val="single" w:color="303030" w:themeColor="text1" w:sz="8" w:space="0"/>
      </w:tblBorders>
    </w:tblPr>
    <w:tblStylePr w:type="firstRow">
      <w:pPr>
        <w:spacing w:before="0" w:after="0" w:line="240" w:lineRule="auto"/>
      </w:pPr>
      <w:rPr>
        <w:b/>
        <w:bCs/>
      </w:rPr>
      <w:tblPr/>
      <w:tcPr>
        <w:tcBorders>
          <w:top w:val="single" w:color="303030" w:themeColor="text1" w:sz="8" w:space="0"/>
          <w:left w:val="nil"/>
          <w:bottom w:val="single" w:color="303030" w:themeColor="text1" w:sz="8" w:space="0"/>
          <w:right w:val="nil"/>
          <w:insideH w:val="nil"/>
          <w:insideV w:val="nil"/>
        </w:tcBorders>
      </w:tcPr>
    </w:tblStylePr>
    <w:tblStylePr w:type="lastRow">
      <w:pPr>
        <w:spacing w:before="0" w:after="0" w:line="240" w:lineRule="auto"/>
      </w:pPr>
      <w:rPr>
        <w:b/>
        <w:bCs/>
      </w:rPr>
      <w:tblPr/>
      <w:tcPr>
        <w:tcBorders>
          <w:top w:val="single" w:color="303030" w:themeColor="text1" w:sz="8" w:space="0"/>
          <w:left w:val="nil"/>
          <w:bottom w:val="single" w:color="30303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1">
    <w:name w:val="Light Shading Accent 1"/>
    <w:basedOn w:val="TableNormal"/>
    <w:uiPriority w:val="60"/>
    <w:semiHidden/>
    <w:rsid w:val="00F238C5"/>
    <w:rPr>
      <w:color w:val="3CD493" w:themeColor="accent1" w:themeShade="BF"/>
    </w:rPr>
    <w:tblPr>
      <w:tblStyleRowBandSize w:val="1"/>
      <w:tblStyleColBandSize w:val="1"/>
      <w:tblBorders>
        <w:top w:val="single" w:color="88E5BD" w:themeColor="accent1" w:sz="8" w:space="0"/>
        <w:bottom w:val="single" w:color="88E5BD" w:themeColor="accent1" w:sz="8" w:space="0"/>
      </w:tblBorders>
    </w:tblPr>
    <w:tblStylePr w:type="firstRow">
      <w:pPr>
        <w:spacing w:before="0" w:after="0" w:line="240" w:lineRule="auto"/>
      </w:pPr>
      <w:rPr>
        <w:b/>
        <w:bCs/>
      </w:rPr>
      <w:tblPr/>
      <w:tcPr>
        <w:tcBorders>
          <w:top w:val="single" w:color="88E5BD" w:themeColor="accent1" w:sz="8" w:space="0"/>
          <w:left w:val="nil"/>
          <w:bottom w:val="single" w:color="88E5BD" w:themeColor="accent1" w:sz="8" w:space="0"/>
          <w:right w:val="nil"/>
          <w:insideH w:val="nil"/>
          <w:insideV w:val="nil"/>
        </w:tcBorders>
      </w:tcPr>
    </w:tblStylePr>
    <w:tblStylePr w:type="lastRow">
      <w:pPr>
        <w:spacing w:before="0" w:after="0" w:line="240" w:lineRule="auto"/>
      </w:pPr>
      <w:rPr>
        <w:b/>
        <w:bCs/>
      </w:rPr>
      <w:tblPr/>
      <w:tcPr>
        <w:tcBorders>
          <w:top w:val="single" w:color="88E5BD" w:themeColor="accent1" w:sz="8" w:space="0"/>
          <w:left w:val="nil"/>
          <w:bottom w:val="single" w:color="88E5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8EE" w:themeFill="accent1" w:themeFillTint="3F"/>
      </w:tcPr>
    </w:tblStylePr>
    <w:tblStylePr w:type="band1Horz">
      <w:tblPr/>
      <w:tcPr>
        <w:tcBorders>
          <w:left w:val="nil"/>
          <w:right w:val="nil"/>
          <w:insideH w:val="nil"/>
          <w:insideV w:val="nil"/>
        </w:tcBorders>
        <w:shd w:val="clear" w:color="auto" w:fill="E1F8EE" w:themeFill="accent1" w:themeFillTint="3F"/>
      </w:tcPr>
    </w:tblStylePr>
  </w:style>
  <w:style w:type="table" w:styleId="LightShading-Accent2">
    <w:name w:val="Light Shading Accent 2"/>
    <w:basedOn w:val="TableNormal"/>
    <w:uiPriority w:val="60"/>
    <w:semiHidden/>
    <w:rsid w:val="00F238C5"/>
    <w:rPr>
      <w:color w:val="1EA1CA" w:themeColor="accent2" w:themeShade="BF"/>
    </w:rPr>
    <w:tblPr>
      <w:tblStyleRowBandSize w:val="1"/>
      <w:tblStyleColBandSize w:val="1"/>
      <w:tblBorders>
        <w:top w:val="single" w:color="53C2E5" w:themeColor="accent2" w:sz="8" w:space="0"/>
        <w:bottom w:val="single" w:color="53C2E5" w:themeColor="accent2" w:sz="8" w:space="0"/>
      </w:tblBorders>
    </w:tblPr>
    <w:tblStylePr w:type="firstRow">
      <w:pPr>
        <w:spacing w:before="0" w:after="0" w:line="240" w:lineRule="auto"/>
      </w:pPr>
      <w:rPr>
        <w:b/>
        <w:bCs/>
      </w:rPr>
      <w:tblPr/>
      <w:tcPr>
        <w:tcBorders>
          <w:top w:val="single" w:color="53C2E5" w:themeColor="accent2" w:sz="8" w:space="0"/>
          <w:left w:val="nil"/>
          <w:bottom w:val="single" w:color="53C2E5" w:themeColor="accent2" w:sz="8" w:space="0"/>
          <w:right w:val="nil"/>
          <w:insideH w:val="nil"/>
          <w:insideV w:val="nil"/>
        </w:tcBorders>
      </w:tcPr>
    </w:tblStylePr>
    <w:tblStylePr w:type="lastRow">
      <w:pPr>
        <w:spacing w:before="0" w:after="0" w:line="240" w:lineRule="auto"/>
      </w:pPr>
      <w:rPr>
        <w:b/>
        <w:bCs/>
      </w:rPr>
      <w:tblPr/>
      <w:tcPr>
        <w:tcBorders>
          <w:top w:val="single" w:color="53C2E5" w:themeColor="accent2" w:sz="8" w:space="0"/>
          <w:left w:val="nil"/>
          <w:bottom w:val="single" w:color="53C2E5"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FF8" w:themeFill="accent2" w:themeFillTint="3F"/>
      </w:tcPr>
    </w:tblStylePr>
    <w:tblStylePr w:type="band1Horz">
      <w:tblPr/>
      <w:tcPr>
        <w:tcBorders>
          <w:left w:val="nil"/>
          <w:right w:val="nil"/>
          <w:insideH w:val="nil"/>
          <w:insideV w:val="nil"/>
        </w:tcBorders>
        <w:shd w:val="clear" w:color="auto" w:fill="D4EFF8" w:themeFill="accent2" w:themeFillTint="3F"/>
      </w:tcPr>
    </w:tblStylePr>
  </w:style>
  <w:style w:type="table" w:styleId="LightShading-Accent3">
    <w:name w:val="Light Shading Accent 3"/>
    <w:basedOn w:val="TableNormal"/>
    <w:uiPriority w:val="60"/>
    <w:semiHidden/>
    <w:rsid w:val="00F238C5"/>
    <w:rPr>
      <w:color w:val="3147EC" w:themeColor="accent3" w:themeShade="BF"/>
    </w:rPr>
    <w:tblPr>
      <w:tblStyleRowBandSize w:val="1"/>
      <w:tblStyleColBandSize w:val="1"/>
      <w:tblBorders>
        <w:top w:val="single" w:color="8996F4" w:themeColor="accent3" w:sz="8" w:space="0"/>
        <w:bottom w:val="single" w:color="8996F4" w:themeColor="accent3" w:sz="8" w:space="0"/>
      </w:tblBorders>
    </w:tblPr>
    <w:tblStylePr w:type="firstRow">
      <w:pPr>
        <w:spacing w:before="0" w:after="0" w:line="240" w:lineRule="auto"/>
      </w:pPr>
      <w:rPr>
        <w:b/>
        <w:bCs/>
      </w:rPr>
      <w:tblPr/>
      <w:tcPr>
        <w:tcBorders>
          <w:top w:val="single" w:color="8996F4" w:themeColor="accent3" w:sz="8" w:space="0"/>
          <w:left w:val="nil"/>
          <w:bottom w:val="single" w:color="8996F4" w:themeColor="accent3" w:sz="8" w:space="0"/>
          <w:right w:val="nil"/>
          <w:insideH w:val="nil"/>
          <w:insideV w:val="nil"/>
        </w:tcBorders>
      </w:tcPr>
    </w:tblStylePr>
    <w:tblStylePr w:type="lastRow">
      <w:pPr>
        <w:spacing w:before="0" w:after="0" w:line="240" w:lineRule="auto"/>
      </w:pPr>
      <w:rPr>
        <w:b/>
        <w:bCs/>
      </w:rPr>
      <w:tblPr/>
      <w:tcPr>
        <w:tcBorders>
          <w:top w:val="single" w:color="8996F4" w:themeColor="accent3" w:sz="8" w:space="0"/>
          <w:left w:val="nil"/>
          <w:bottom w:val="single" w:color="8996F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4FC" w:themeFill="accent3" w:themeFillTint="3F"/>
      </w:tcPr>
    </w:tblStylePr>
    <w:tblStylePr w:type="band1Horz">
      <w:tblPr/>
      <w:tcPr>
        <w:tcBorders>
          <w:left w:val="nil"/>
          <w:right w:val="nil"/>
          <w:insideH w:val="nil"/>
          <w:insideV w:val="nil"/>
        </w:tcBorders>
        <w:shd w:val="clear" w:color="auto" w:fill="E1E4FC" w:themeFill="accent3" w:themeFillTint="3F"/>
      </w:tcPr>
    </w:tblStylePr>
  </w:style>
  <w:style w:type="table" w:styleId="LightShading-Accent4">
    <w:name w:val="Light Shading Accent 4"/>
    <w:basedOn w:val="TableNormal"/>
    <w:uiPriority w:val="60"/>
    <w:semiHidden/>
    <w:rsid w:val="00F238C5"/>
    <w:rPr>
      <w:color w:val="D752D7" w:themeColor="accent4" w:themeShade="BF"/>
    </w:rPr>
    <w:tblPr>
      <w:tblStyleRowBandSize w:val="1"/>
      <w:tblStyleColBandSize w:val="1"/>
      <w:tblBorders>
        <w:top w:val="single" w:color="EAA4EA" w:themeColor="accent4" w:sz="8" w:space="0"/>
        <w:bottom w:val="single" w:color="EAA4EA" w:themeColor="accent4" w:sz="8" w:space="0"/>
      </w:tblBorders>
    </w:tblPr>
    <w:tblStylePr w:type="firstRow">
      <w:pPr>
        <w:spacing w:before="0" w:after="0" w:line="240" w:lineRule="auto"/>
      </w:pPr>
      <w:rPr>
        <w:b/>
        <w:bCs/>
      </w:rPr>
      <w:tblPr/>
      <w:tcPr>
        <w:tcBorders>
          <w:top w:val="single" w:color="EAA4EA" w:themeColor="accent4" w:sz="8" w:space="0"/>
          <w:left w:val="nil"/>
          <w:bottom w:val="single" w:color="EAA4EA" w:themeColor="accent4" w:sz="8" w:space="0"/>
          <w:right w:val="nil"/>
          <w:insideH w:val="nil"/>
          <w:insideV w:val="nil"/>
        </w:tcBorders>
      </w:tcPr>
    </w:tblStylePr>
    <w:tblStylePr w:type="lastRow">
      <w:pPr>
        <w:spacing w:before="0" w:after="0" w:line="240" w:lineRule="auto"/>
      </w:pPr>
      <w:rPr>
        <w:b/>
        <w:bCs/>
      </w:rPr>
      <w:tblPr/>
      <w:tcPr>
        <w:tcBorders>
          <w:top w:val="single" w:color="EAA4EA" w:themeColor="accent4" w:sz="8" w:space="0"/>
          <w:left w:val="nil"/>
          <w:bottom w:val="single" w:color="EAA4E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8F9" w:themeFill="accent4" w:themeFillTint="3F"/>
      </w:tcPr>
    </w:tblStylePr>
    <w:tblStylePr w:type="band1Horz">
      <w:tblPr/>
      <w:tcPr>
        <w:tcBorders>
          <w:left w:val="nil"/>
          <w:right w:val="nil"/>
          <w:insideH w:val="nil"/>
          <w:insideV w:val="nil"/>
        </w:tcBorders>
        <w:shd w:val="clear" w:color="auto" w:fill="F9E8F9" w:themeFill="accent4" w:themeFillTint="3F"/>
      </w:tcPr>
    </w:tblStylePr>
  </w:style>
  <w:style w:type="table" w:styleId="LightShading-Accent5">
    <w:name w:val="Light Shading Accent 5"/>
    <w:basedOn w:val="TableNormal"/>
    <w:uiPriority w:val="60"/>
    <w:semiHidden/>
    <w:rsid w:val="00F238C5"/>
    <w:rPr>
      <w:color w:val="FB323D" w:themeColor="accent5" w:themeShade="BF"/>
    </w:rPr>
    <w:tblPr>
      <w:tblStyleRowBandSize w:val="1"/>
      <w:tblStyleColBandSize w:val="1"/>
      <w:tblBorders>
        <w:top w:val="single" w:color="FD969C" w:themeColor="accent5" w:sz="8" w:space="0"/>
        <w:bottom w:val="single" w:color="FD969C" w:themeColor="accent5" w:sz="8" w:space="0"/>
      </w:tblBorders>
    </w:tblPr>
    <w:tblStylePr w:type="firstRow">
      <w:pPr>
        <w:spacing w:before="0" w:after="0" w:line="240" w:lineRule="auto"/>
      </w:pPr>
      <w:rPr>
        <w:b/>
        <w:bCs/>
      </w:rPr>
      <w:tblPr/>
      <w:tcPr>
        <w:tcBorders>
          <w:top w:val="single" w:color="FD969C" w:themeColor="accent5" w:sz="8" w:space="0"/>
          <w:left w:val="nil"/>
          <w:bottom w:val="single" w:color="FD969C" w:themeColor="accent5" w:sz="8" w:space="0"/>
          <w:right w:val="nil"/>
          <w:insideH w:val="nil"/>
          <w:insideV w:val="nil"/>
        </w:tcBorders>
      </w:tcPr>
    </w:tblStylePr>
    <w:tblStylePr w:type="lastRow">
      <w:pPr>
        <w:spacing w:before="0" w:after="0" w:line="240" w:lineRule="auto"/>
      </w:pPr>
      <w:rPr>
        <w:b/>
        <w:bCs/>
      </w:rPr>
      <w:tblPr/>
      <w:tcPr>
        <w:tcBorders>
          <w:top w:val="single" w:color="FD969C" w:themeColor="accent5" w:sz="8" w:space="0"/>
          <w:left w:val="nil"/>
          <w:bottom w:val="single" w:color="FD969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E6" w:themeFill="accent5" w:themeFillTint="3F"/>
      </w:tcPr>
    </w:tblStylePr>
    <w:tblStylePr w:type="band1Horz">
      <w:tblPr/>
      <w:tcPr>
        <w:tcBorders>
          <w:left w:val="nil"/>
          <w:right w:val="nil"/>
          <w:insideH w:val="nil"/>
          <w:insideV w:val="nil"/>
        </w:tcBorders>
        <w:shd w:val="clear" w:color="auto" w:fill="FEE4E6" w:themeFill="accent5" w:themeFillTint="3F"/>
      </w:tcPr>
    </w:tblStylePr>
  </w:style>
  <w:style w:type="table" w:styleId="LightShading-Accent6">
    <w:name w:val="Light Shading Accent 6"/>
    <w:basedOn w:val="TableNormal"/>
    <w:uiPriority w:val="60"/>
    <w:semiHidden/>
    <w:rsid w:val="00F238C5"/>
    <w:rPr>
      <w:color w:val="60DBA6" w:themeColor="accent6" w:themeShade="BF"/>
    </w:rPr>
    <w:tblPr>
      <w:tblStyleRowBandSize w:val="1"/>
      <w:tblStyleColBandSize w:val="1"/>
      <w:tblBorders>
        <w:top w:val="single" w:color="B7EFD7" w:themeColor="accent6" w:sz="8" w:space="0"/>
        <w:bottom w:val="single" w:color="B7EFD7" w:themeColor="accent6" w:sz="8" w:space="0"/>
      </w:tblBorders>
    </w:tblPr>
    <w:tblStylePr w:type="firstRow">
      <w:pPr>
        <w:spacing w:before="0" w:after="0" w:line="240" w:lineRule="auto"/>
      </w:pPr>
      <w:rPr>
        <w:b/>
        <w:bCs/>
      </w:rPr>
      <w:tblPr/>
      <w:tcPr>
        <w:tcBorders>
          <w:top w:val="single" w:color="B7EFD7" w:themeColor="accent6" w:sz="8" w:space="0"/>
          <w:left w:val="nil"/>
          <w:bottom w:val="single" w:color="B7EFD7" w:themeColor="accent6" w:sz="8" w:space="0"/>
          <w:right w:val="nil"/>
          <w:insideH w:val="nil"/>
          <w:insideV w:val="nil"/>
        </w:tcBorders>
      </w:tcPr>
    </w:tblStylePr>
    <w:tblStylePr w:type="lastRow">
      <w:pPr>
        <w:spacing w:before="0" w:after="0" w:line="240" w:lineRule="auto"/>
      </w:pPr>
      <w:rPr>
        <w:b/>
        <w:bCs/>
      </w:rPr>
      <w:tblPr/>
      <w:tcPr>
        <w:tcBorders>
          <w:top w:val="single" w:color="B7EFD7" w:themeColor="accent6" w:sz="8" w:space="0"/>
          <w:left w:val="nil"/>
          <w:bottom w:val="single" w:color="B7EFD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BF4" w:themeFill="accent6" w:themeFillTint="3F"/>
      </w:tcPr>
    </w:tblStylePr>
    <w:tblStylePr w:type="band1Horz">
      <w:tblPr/>
      <w:tcPr>
        <w:tcBorders>
          <w:left w:val="nil"/>
          <w:right w:val="nil"/>
          <w:insideH w:val="nil"/>
          <w:insideV w:val="nil"/>
        </w:tcBorders>
        <w:shd w:val="clear" w:color="auto" w:fill="EDFBF4" w:themeFill="accent6" w:themeFillTint="3F"/>
      </w:tcPr>
    </w:tblStylePr>
  </w:style>
  <w:style w:type="character" w:styleId="LineNumber">
    <w:name w:val="line number"/>
    <w:basedOn w:val="DefaultParagraphFont"/>
    <w:uiPriority w:val="99"/>
    <w:semiHidden/>
    <w:rsid w:val="00F238C5"/>
  </w:style>
  <w:style w:type="paragraph" w:styleId="List">
    <w:name w:val="List"/>
    <w:basedOn w:val="Normal"/>
    <w:uiPriority w:val="99"/>
    <w:semiHidden/>
    <w:rsid w:val="00F238C5"/>
    <w:pPr>
      <w:ind w:left="283" w:hanging="283"/>
      <w:contextualSpacing/>
    </w:pPr>
  </w:style>
  <w:style w:type="paragraph" w:styleId="List2">
    <w:name w:val="List 2"/>
    <w:basedOn w:val="Normal"/>
    <w:uiPriority w:val="99"/>
    <w:semiHidden/>
    <w:rsid w:val="00F238C5"/>
    <w:pPr>
      <w:ind w:left="566" w:hanging="283"/>
      <w:contextualSpacing/>
    </w:pPr>
  </w:style>
  <w:style w:type="paragraph" w:styleId="List3">
    <w:name w:val="List 3"/>
    <w:basedOn w:val="Normal"/>
    <w:uiPriority w:val="99"/>
    <w:semiHidden/>
    <w:rsid w:val="00F238C5"/>
    <w:pPr>
      <w:ind w:left="849" w:hanging="283"/>
      <w:contextualSpacing/>
    </w:pPr>
  </w:style>
  <w:style w:type="paragraph" w:styleId="List4">
    <w:name w:val="List 4"/>
    <w:basedOn w:val="Normal"/>
    <w:uiPriority w:val="99"/>
    <w:semiHidden/>
    <w:rsid w:val="00F238C5"/>
    <w:pPr>
      <w:ind w:left="1132" w:hanging="283"/>
      <w:contextualSpacing/>
    </w:pPr>
  </w:style>
  <w:style w:type="paragraph" w:styleId="List5">
    <w:name w:val="List 5"/>
    <w:basedOn w:val="Normal"/>
    <w:uiPriority w:val="99"/>
    <w:semiHidden/>
    <w:rsid w:val="00F238C5"/>
    <w:pPr>
      <w:ind w:left="1415" w:hanging="283"/>
      <w:contextualSpacing/>
    </w:pPr>
  </w:style>
  <w:style w:type="paragraph" w:styleId="ListBullet">
    <w:name w:val="List Bullet"/>
    <w:basedOn w:val="Normal"/>
    <w:uiPriority w:val="99"/>
    <w:semiHidden/>
    <w:rsid w:val="00F238C5"/>
    <w:pPr>
      <w:numPr>
        <w:numId w:val="64"/>
      </w:numPr>
      <w:contextualSpacing/>
    </w:pPr>
  </w:style>
  <w:style w:type="paragraph" w:styleId="ListBullet2">
    <w:name w:val="List Bullet 2"/>
    <w:basedOn w:val="Normal"/>
    <w:uiPriority w:val="99"/>
    <w:semiHidden/>
    <w:rsid w:val="00F238C5"/>
    <w:pPr>
      <w:numPr>
        <w:numId w:val="65"/>
      </w:numPr>
      <w:contextualSpacing/>
    </w:pPr>
  </w:style>
  <w:style w:type="paragraph" w:styleId="ListBullet3">
    <w:name w:val="List Bullet 3"/>
    <w:basedOn w:val="Normal"/>
    <w:uiPriority w:val="99"/>
    <w:semiHidden/>
    <w:rsid w:val="00F238C5"/>
    <w:pPr>
      <w:numPr>
        <w:numId w:val="66"/>
      </w:numPr>
      <w:contextualSpacing/>
    </w:pPr>
  </w:style>
  <w:style w:type="paragraph" w:styleId="ListBullet4">
    <w:name w:val="List Bullet 4"/>
    <w:basedOn w:val="Normal"/>
    <w:uiPriority w:val="99"/>
    <w:semiHidden/>
    <w:rsid w:val="00F238C5"/>
    <w:pPr>
      <w:numPr>
        <w:numId w:val="67"/>
      </w:numPr>
      <w:contextualSpacing/>
    </w:pPr>
  </w:style>
  <w:style w:type="paragraph" w:styleId="ListBullet5">
    <w:name w:val="List Bullet 5"/>
    <w:basedOn w:val="Normal"/>
    <w:uiPriority w:val="99"/>
    <w:semiHidden/>
    <w:rsid w:val="00F238C5"/>
    <w:pPr>
      <w:numPr>
        <w:numId w:val="68"/>
      </w:numPr>
      <w:contextualSpacing/>
    </w:pPr>
  </w:style>
  <w:style w:type="paragraph" w:styleId="ListContinue">
    <w:name w:val="List Continue"/>
    <w:basedOn w:val="Normal"/>
    <w:uiPriority w:val="99"/>
    <w:semiHidden/>
    <w:rsid w:val="00F238C5"/>
    <w:pPr>
      <w:spacing w:after="120"/>
      <w:ind w:left="283"/>
      <w:contextualSpacing/>
    </w:pPr>
  </w:style>
  <w:style w:type="paragraph" w:styleId="ListContinue2">
    <w:name w:val="List Continue 2"/>
    <w:basedOn w:val="Normal"/>
    <w:uiPriority w:val="99"/>
    <w:semiHidden/>
    <w:rsid w:val="00F238C5"/>
    <w:pPr>
      <w:spacing w:after="120"/>
      <w:ind w:left="566"/>
      <w:contextualSpacing/>
    </w:pPr>
  </w:style>
  <w:style w:type="paragraph" w:styleId="ListContinue3">
    <w:name w:val="List Continue 3"/>
    <w:basedOn w:val="Normal"/>
    <w:uiPriority w:val="99"/>
    <w:semiHidden/>
    <w:rsid w:val="00F238C5"/>
    <w:pPr>
      <w:spacing w:after="120"/>
      <w:ind w:left="849"/>
      <w:contextualSpacing/>
    </w:pPr>
  </w:style>
  <w:style w:type="paragraph" w:styleId="ListContinue4">
    <w:name w:val="List Continue 4"/>
    <w:basedOn w:val="Normal"/>
    <w:uiPriority w:val="99"/>
    <w:semiHidden/>
    <w:rsid w:val="00F238C5"/>
    <w:pPr>
      <w:spacing w:after="120"/>
      <w:ind w:left="1132"/>
      <w:contextualSpacing/>
    </w:pPr>
  </w:style>
  <w:style w:type="paragraph" w:styleId="ListContinue5">
    <w:name w:val="List Continue 5"/>
    <w:basedOn w:val="Normal"/>
    <w:uiPriority w:val="99"/>
    <w:semiHidden/>
    <w:rsid w:val="00F238C5"/>
    <w:pPr>
      <w:spacing w:after="120"/>
      <w:ind w:left="1415"/>
      <w:contextualSpacing/>
    </w:pPr>
  </w:style>
  <w:style w:type="paragraph" w:styleId="ListNumber">
    <w:name w:val="List Number"/>
    <w:basedOn w:val="Normal"/>
    <w:uiPriority w:val="99"/>
    <w:semiHidden/>
    <w:rsid w:val="00F238C5"/>
    <w:pPr>
      <w:numPr>
        <w:numId w:val="69"/>
      </w:numPr>
      <w:contextualSpacing/>
    </w:pPr>
  </w:style>
  <w:style w:type="paragraph" w:styleId="ListNumber2">
    <w:name w:val="List Number 2"/>
    <w:basedOn w:val="Normal"/>
    <w:uiPriority w:val="99"/>
    <w:semiHidden/>
    <w:rsid w:val="00F238C5"/>
    <w:pPr>
      <w:numPr>
        <w:numId w:val="70"/>
      </w:numPr>
      <w:contextualSpacing/>
    </w:pPr>
  </w:style>
  <w:style w:type="paragraph" w:styleId="ListNumber3">
    <w:name w:val="List Number 3"/>
    <w:basedOn w:val="Normal"/>
    <w:uiPriority w:val="99"/>
    <w:semiHidden/>
    <w:rsid w:val="00F238C5"/>
    <w:pPr>
      <w:numPr>
        <w:numId w:val="71"/>
      </w:numPr>
      <w:contextualSpacing/>
    </w:pPr>
  </w:style>
  <w:style w:type="paragraph" w:styleId="ListNumber4">
    <w:name w:val="List Number 4"/>
    <w:basedOn w:val="Normal"/>
    <w:uiPriority w:val="99"/>
    <w:semiHidden/>
    <w:rsid w:val="00F238C5"/>
    <w:pPr>
      <w:numPr>
        <w:numId w:val="72"/>
      </w:numPr>
      <w:contextualSpacing/>
    </w:pPr>
  </w:style>
  <w:style w:type="paragraph" w:styleId="ListNumber5">
    <w:name w:val="List Number 5"/>
    <w:basedOn w:val="Normal"/>
    <w:uiPriority w:val="99"/>
    <w:semiHidden/>
    <w:rsid w:val="00F238C5"/>
    <w:pPr>
      <w:numPr>
        <w:numId w:val="73"/>
      </w:numPr>
      <w:contextualSpacing/>
    </w:pPr>
  </w:style>
  <w:style w:type="table" w:styleId="ListTable1Light">
    <w:name w:val="List Table 1 Light"/>
    <w:basedOn w:val="TableNormal"/>
    <w:uiPriority w:val="46"/>
    <w:rsid w:val="00F238C5"/>
    <w:tblPr>
      <w:tblStyleRowBandSize w:val="1"/>
      <w:tblStyleColBandSize w:val="1"/>
    </w:tblPr>
    <w:tblStylePr w:type="firstRow">
      <w:rPr>
        <w:b/>
        <w:bCs/>
      </w:rPr>
      <w:tblPr/>
      <w:tcPr>
        <w:tcBorders>
          <w:bottom w:val="single" w:color="828282" w:themeColor="text1" w:themeTint="99" w:sz="4" w:space="0"/>
        </w:tcBorders>
      </w:tcPr>
    </w:tblStylePr>
    <w:tblStylePr w:type="lastRow">
      <w:rPr>
        <w:b/>
        <w:bCs/>
      </w:rPr>
      <w:tblPr/>
      <w:tcPr>
        <w:tcBorders>
          <w:top w:val="single" w:color="828282" w:themeColor="text1" w:themeTint="99"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1Light-Accent1">
    <w:name w:val="List Table 1 Light Accent 1"/>
    <w:basedOn w:val="TableNormal"/>
    <w:uiPriority w:val="46"/>
    <w:rsid w:val="00F238C5"/>
    <w:tblPr>
      <w:tblStyleRowBandSize w:val="1"/>
      <w:tblStyleColBandSize w:val="1"/>
    </w:tblPr>
    <w:tblStylePr w:type="firstRow">
      <w:rPr>
        <w:b/>
        <w:bCs/>
      </w:rPr>
      <w:tblPr/>
      <w:tcPr>
        <w:tcBorders>
          <w:bottom w:val="single" w:color="B7EFD7" w:themeColor="accent1" w:themeTint="99" w:sz="4" w:space="0"/>
        </w:tcBorders>
      </w:tcPr>
    </w:tblStylePr>
    <w:tblStylePr w:type="lastRow">
      <w:rPr>
        <w:b/>
        <w:bCs/>
      </w:rPr>
      <w:tblPr/>
      <w:tcPr>
        <w:tcBorders>
          <w:top w:val="single" w:color="B7EFD7" w:themeColor="accent1" w:themeTint="99"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1Light-Accent2">
    <w:name w:val="List Table 1 Light Accent 2"/>
    <w:basedOn w:val="TableNormal"/>
    <w:uiPriority w:val="46"/>
    <w:rsid w:val="00F238C5"/>
    <w:tblPr>
      <w:tblStyleRowBandSize w:val="1"/>
      <w:tblStyleColBandSize w:val="1"/>
    </w:tblPr>
    <w:tblStylePr w:type="firstRow">
      <w:rPr>
        <w:b/>
        <w:bCs/>
      </w:rPr>
      <w:tblPr/>
      <w:tcPr>
        <w:tcBorders>
          <w:bottom w:val="single" w:color="97DAEF" w:themeColor="accent2" w:themeTint="99" w:sz="4" w:space="0"/>
        </w:tcBorders>
      </w:tcPr>
    </w:tblStylePr>
    <w:tblStylePr w:type="lastRow">
      <w:rPr>
        <w:b/>
        <w:bCs/>
      </w:rPr>
      <w:tblPr/>
      <w:tcPr>
        <w:tcBorders>
          <w:top w:val="single" w:color="97DAEF" w:themeColor="accent2" w:themeTint="99"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1Light-Accent3">
    <w:name w:val="List Table 1 Light Accent 3"/>
    <w:basedOn w:val="TableNormal"/>
    <w:uiPriority w:val="46"/>
    <w:rsid w:val="00F238C5"/>
    <w:tblPr>
      <w:tblStyleRowBandSize w:val="1"/>
      <w:tblStyleColBandSize w:val="1"/>
    </w:tblPr>
    <w:tblStylePr w:type="firstRow">
      <w:rPr>
        <w:b/>
        <w:bCs/>
      </w:rPr>
      <w:tblPr/>
      <w:tcPr>
        <w:tcBorders>
          <w:bottom w:val="single" w:color="B7BFF8" w:themeColor="accent3" w:themeTint="99" w:sz="4" w:space="0"/>
        </w:tcBorders>
      </w:tcPr>
    </w:tblStylePr>
    <w:tblStylePr w:type="lastRow">
      <w:rPr>
        <w:b/>
        <w:bCs/>
      </w:rPr>
      <w:tblPr/>
      <w:tcPr>
        <w:tcBorders>
          <w:top w:val="single" w:color="B7BFF8" w:themeColor="accent3" w:themeTint="99"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1Light-Accent4">
    <w:name w:val="List Table 1 Light Accent 4"/>
    <w:basedOn w:val="TableNormal"/>
    <w:uiPriority w:val="46"/>
    <w:rsid w:val="00F238C5"/>
    <w:tblPr>
      <w:tblStyleRowBandSize w:val="1"/>
      <w:tblStyleColBandSize w:val="1"/>
    </w:tblPr>
    <w:tblStylePr w:type="firstRow">
      <w:rPr>
        <w:b/>
        <w:bCs/>
      </w:rPr>
      <w:tblPr/>
      <w:tcPr>
        <w:tcBorders>
          <w:bottom w:val="single" w:color="F2C8F2" w:themeColor="accent4" w:themeTint="99" w:sz="4" w:space="0"/>
        </w:tcBorders>
      </w:tcPr>
    </w:tblStylePr>
    <w:tblStylePr w:type="lastRow">
      <w:rPr>
        <w:b/>
        <w:bCs/>
      </w:rPr>
      <w:tblPr/>
      <w:tcPr>
        <w:tcBorders>
          <w:top w:val="single" w:color="F2C8F2" w:themeColor="accent4" w:themeTint="99"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1Light-Accent5">
    <w:name w:val="List Table 1 Light Accent 5"/>
    <w:basedOn w:val="TableNormal"/>
    <w:uiPriority w:val="46"/>
    <w:rsid w:val="00F238C5"/>
    <w:tblPr>
      <w:tblStyleRowBandSize w:val="1"/>
      <w:tblStyleColBandSize w:val="1"/>
    </w:tblPr>
    <w:tblStylePr w:type="firstRow">
      <w:rPr>
        <w:b/>
        <w:bCs/>
      </w:rPr>
      <w:tblPr/>
      <w:tcPr>
        <w:tcBorders>
          <w:bottom w:val="single" w:color="FDBFC3" w:themeColor="accent5" w:themeTint="99" w:sz="4" w:space="0"/>
        </w:tcBorders>
      </w:tcPr>
    </w:tblStylePr>
    <w:tblStylePr w:type="lastRow">
      <w:rPr>
        <w:b/>
        <w:bCs/>
      </w:rPr>
      <w:tblPr/>
      <w:tcPr>
        <w:tcBorders>
          <w:top w:val="single" w:color="FDBFC3" w:themeColor="accent5" w:themeTint="99"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1Light-Accent6">
    <w:name w:val="List Table 1 Light Accent 6"/>
    <w:basedOn w:val="TableNormal"/>
    <w:uiPriority w:val="46"/>
    <w:rsid w:val="00F238C5"/>
    <w:tblPr>
      <w:tblStyleRowBandSize w:val="1"/>
      <w:tblStyleColBandSize w:val="1"/>
    </w:tblPr>
    <w:tblStylePr w:type="firstRow">
      <w:rPr>
        <w:b/>
        <w:bCs/>
      </w:rPr>
      <w:tblPr/>
      <w:tcPr>
        <w:tcBorders>
          <w:bottom w:val="single" w:color="D3F5E6" w:themeColor="accent6" w:themeTint="99" w:sz="4" w:space="0"/>
        </w:tcBorders>
      </w:tcPr>
    </w:tblStylePr>
    <w:tblStylePr w:type="lastRow">
      <w:rPr>
        <w:b/>
        <w:bCs/>
      </w:rPr>
      <w:tblPr/>
      <w:tcPr>
        <w:tcBorders>
          <w:top w:val="single" w:color="D3F5E6"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2">
    <w:name w:val="List Table 2"/>
    <w:basedOn w:val="TableNormal"/>
    <w:uiPriority w:val="47"/>
    <w:rsid w:val="00F238C5"/>
    <w:tblPr>
      <w:tblStyleRowBandSize w:val="1"/>
      <w:tblStyleColBandSize w:val="1"/>
      <w:tblBorders>
        <w:top w:val="single" w:color="828282" w:themeColor="text1" w:themeTint="99" w:sz="4" w:space="0"/>
        <w:bottom w:val="single" w:color="828282" w:themeColor="text1" w:themeTint="99" w:sz="4" w:space="0"/>
        <w:insideH w:val="single" w:color="828282"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2-Accent1">
    <w:name w:val="List Table 2 Accent 1"/>
    <w:basedOn w:val="TableNormal"/>
    <w:uiPriority w:val="47"/>
    <w:rsid w:val="00F238C5"/>
    <w:tblPr>
      <w:tblStyleRowBandSize w:val="1"/>
      <w:tblStyleColBandSize w:val="1"/>
      <w:tblBorders>
        <w:top w:val="single" w:color="B7EFD7" w:themeColor="accent1" w:themeTint="99" w:sz="4" w:space="0"/>
        <w:bottom w:val="single" w:color="B7EFD7" w:themeColor="accent1" w:themeTint="99" w:sz="4" w:space="0"/>
        <w:insideH w:val="single" w:color="B7EF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2-Accent2">
    <w:name w:val="List Table 2 Accent 2"/>
    <w:basedOn w:val="TableNormal"/>
    <w:uiPriority w:val="47"/>
    <w:rsid w:val="00F238C5"/>
    <w:tblPr>
      <w:tblStyleRowBandSize w:val="1"/>
      <w:tblStyleColBandSize w:val="1"/>
      <w:tblBorders>
        <w:top w:val="single" w:color="97DAEF" w:themeColor="accent2" w:themeTint="99" w:sz="4" w:space="0"/>
        <w:bottom w:val="single" w:color="97DAEF" w:themeColor="accent2" w:themeTint="99" w:sz="4" w:space="0"/>
        <w:insideH w:val="single" w:color="97DAE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2-Accent3">
    <w:name w:val="List Table 2 Accent 3"/>
    <w:basedOn w:val="TableNormal"/>
    <w:uiPriority w:val="47"/>
    <w:rsid w:val="00F238C5"/>
    <w:tblPr>
      <w:tblStyleRowBandSize w:val="1"/>
      <w:tblStyleColBandSize w:val="1"/>
      <w:tblBorders>
        <w:top w:val="single" w:color="B7BFF8" w:themeColor="accent3" w:themeTint="99" w:sz="4" w:space="0"/>
        <w:bottom w:val="single" w:color="B7BFF8" w:themeColor="accent3" w:themeTint="99" w:sz="4" w:space="0"/>
        <w:insideH w:val="single" w:color="B7BFF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2-Accent4">
    <w:name w:val="List Table 2 Accent 4"/>
    <w:basedOn w:val="TableNormal"/>
    <w:uiPriority w:val="47"/>
    <w:rsid w:val="00F238C5"/>
    <w:tblPr>
      <w:tblStyleRowBandSize w:val="1"/>
      <w:tblStyleColBandSize w:val="1"/>
      <w:tblBorders>
        <w:top w:val="single" w:color="F2C8F2" w:themeColor="accent4" w:themeTint="99" w:sz="4" w:space="0"/>
        <w:bottom w:val="single" w:color="F2C8F2" w:themeColor="accent4" w:themeTint="99" w:sz="4" w:space="0"/>
        <w:insideH w:val="single" w:color="F2C8F2"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2-Accent5">
    <w:name w:val="List Table 2 Accent 5"/>
    <w:basedOn w:val="TableNormal"/>
    <w:uiPriority w:val="47"/>
    <w:rsid w:val="00F238C5"/>
    <w:tblPr>
      <w:tblStyleRowBandSize w:val="1"/>
      <w:tblStyleColBandSize w:val="1"/>
      <w:tblBorders>
        <w:top w:val="single" w:color="FDBFC3" w:themeColor="accent5" w:themeTint="99" w:sz="4" w:space="0"/>
        <w:bottom w:val="single" w:color="FDBFC3" w:themeColor="accent5" w:themeTint="99" w:sz="4" w:space="0"/>
        <w:insideH w:val="single" w:color="FDBFC3"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2-Accent6">
    <w:name w:val="List Table 2 Accent 6"/>
    <w:basedOn w:val="TableNormal"/>
    <w:uiPriority w:val="47"/>
    <w:rsid w:val="00F238C5"/>
    <w:tblPr>
      <w:tblStyleRowBandSize w:val="1"/>
      <w:tblStyleColBandSize w:val="1"/>
      <w:tblBorders>
        <w:top w:val="single" w:color="D3F5E6" w:themeColor="accent6" w:themeTint="99" w:sz="4" w:space="0"/>
        <w:bottom w:val="single" w:color="D3F5E6" w:themeColor="accent6" w:themeTint="99" w:sz="4" w:space="0"/>
        <w:insideH w:val="single" w:color="D3F5E6"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3">
    <w:name w:val="List Table 3"/>
    <w:basedOn w:val="TableNormal"/>
    <w:uiPriority w:val="48"/>
    <w:rsid w:val="00F238C5"/>
    <w:tblPr>
      <w:tblStyleRowBandSize w:val="1"/>
      <w:tblStyleColBandSize w:val="1"/>
      <w:tblBorders>
        <w:top w:val="single" w:color="303030" w:themeColor="text1" w:sz="4" w:space="0"/>
        <w:left w:val="single" w:color="303030" w:themeColor="text1" w:sz="4" w:space="0"/>
        <w:bottom w:val="single" w:color="303030" w:themeColor="text1" w:sz="4" w:space="0"/>
        <w:right w:val="single" w:color="303030" w:themeColor="text1" w:sz="4" w:space="0"/>
      </w:tblBorders>
    </w:tblPr>
    <w:tblStylePr w:type="firstRow">
      <w:rPr>
        <w:b/>
        <w:bCs/>
        <w:color w:val="FFFFFF" w:themeColor="background1"/>
      </w:rPr>
      <w:tblPr/>
      <w:tcPr>
        <w:shd w:val="clear" w:color="auto" w:fill="303030" w:themeFill="text1"/>
      </w:tcPr>
    </w:tblStylePr>
    <w:tblStylePr w:type="lastRow">
      <w:rPr>
        <w:b/>
        <w:bCs/>
      </w:rPr>
      <w:tblPr/>
      <w:tcPr>
        <w:tcBorders>
          <w:top w:val="double" w:color="30303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03030" w:themeColor="text1" w:sz="4" w:space="0"/>
          <w:right w:val="single" w:color="303030" w:themeColor="text1" w:sz="4" w:space="0"/>
        </w:tcBorders>
      </w:tcPr>
    </w:tblStylePr>
    <w:tblStylePr w:type="band1Horz">
      <w:tblPr/>
      <w:tcPr>
        <w:tcBorders>
          <w:top w:val="single" w:color="303030" w:themeColor="text1" w:sz="4" w:space="0"/>
          <w:bottom w:val="single" w:color="30303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03030" w:themeColor="text1" w:sz="4" w:space="0"/>
          <w:left w:val="nil"/>
        </w:tcBorders>
      </w:tcPr>
    </w:tblStylePr>
    <w:tblStylePr w:type="swCell">
      <w:tblPr/>
      <w:tcPr>
        <w:tcBorders>
          <w:top w:val="double" w:color="303030" w:themeColor="text1" w:sz="4" w:space="0"/>
          <w:right w:val="nil"/>
        </w:tcBorders>
      </w:tcPr>
    </w:tblStylePr>
  </w:style>
  <w:style w:type="table" w:styleId="ListTable3-Accent1">
    <w:name w:val="List Table 3 Accent 1"/>
    <w:basedOn w:val="TableNormal"/>
    <w:uiPriority w:val="48"/>
    <w:rsid w:val="00F238C5"/>
    <w:tblPr>
      <w:tblStyleRowBandSize w:val="1"/>
      <w:tblStyleColBandSize w:val="1"/>
      <w:tblBorders>
        <w:top w:val="single" w:color="88E5BD" w:themeColor="accent1" w:sz="4" w:space="0"/>
        <w:left w:val="single" w:color="88E5BD" w:themeColor="accent1" w:sz="4" w:space="0"/>
        <w:bottom w:val="single" w:color="88E5BD" w:themeColor="accent1" w:sz="4" w:space="0"/>
        <w:right w:val="single" w:color="88E5BD" w:themeColor="accent1" w:sz="4" w:space="0"/>
      </w:tblBorders>
    </w:tblPr>
    <w:tblStylePr w:type="firstRow">
      <w:rPr>
        <w:b/>
        <w:bCs/>
        <w:color w:val="FFFFFF" w:themeColor="background1"/>
      </w:rPr>
      <w:tblPr/>
      <w:tcPr>
        <w:shd w:val="clear" w:color="auto" w:fill="88E5BD" w:themeFill="accent1"/>
      </w:tcPr>
    </w:tblStylePr>
    <w:tblStylePr w:type="lastRow">
      <w:rPr>
        <w:b/>
        <w:bCs/>
      </w:rPr>
      <w:tblPr/>
      <w:tcPr>
        <w:tcBorders>
          <w:top w:val="double" w:color="88E5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8E5BD" w:themeColor="accent1" w:sz="4" w:space="0"/>
          <w:right w:val="single" w:color="88E5BD" w:themeColor="accent1" w:sz="4" w:space="0"/>
        </w:tcBorders>
      </w:tcPr>
    </w:tblStylePr>
    <w:tblStylePr w:type="band1Horz">
      <w:tblPr/>
      <w:tcPr>
        <w:tcBorders>
          <w:top w:val="single" w:color="88E5BD" w:themeColor="accent1" w:sz="4" w:space="0"/>
          <w:bottom w:val="single" w:color="88E5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8E5BD" w:themeColor="accent1" w:sz="4" w:space="0"/>
          <w:left w:val="nil"/>
        </w:tcBorders>
      </w:tcPr>
    </w:tblStylePr>
    <w:tblStylePr w:type="swCell">
      <w:tblPr/>
      <w:tcPr>
        <w:tcBorders>
          <w:top w:val="double" w:color="88E5BD" w:themeColor="accent1" w:sz="4" w:space="0"/>
          <w:right w:val="nil"/>
        </w:tcBorders>
      </w:tcPr>
    </w:tblStylePr>
  </w:style>
  <w:style w:type="table" w:styleId="ListTable3-Accent2">
    <w:name w:val="List Table 3 Accent 2"/>
    <w:basedOn w:val="TableNormal"/>
    <w:uiPriority w:val="48"/>
    <w:rsid w:val="00F238C5"/>
    <w:tblPr>
      <w:tblStyleRowBandSize w:val="1"/>
      <w:tblStyleColBandSize w:val="1"/>
      <w:tblBorders>
        <w:top w:val="single" w:color="53C2E5" w:themeColor="accent2" w:sz="4" w:space="0"/>
        <w:left w:val="single" w:color="53C2E5" w:themeColor="accent2" w:sz="4" w:space="0"/>
        <w:bottom w:val="single" w:color="53C2E5" w:themeColor="accent2" w:sz="4" w:space="0"/>
        <w:right w:val="single" w:color="53C2E5" w:themeColor="accent2" w:sz="4" w:space="0"/>
      </w:tblBorders>
    </w:tblPr>
    <w:tblStylePr w:type="firstRow">
      <w:rPr>
        <w:b/>
        <w:bCs/>
        <w:color w:val="FFFFFF" w:themeColor="background1"/>
      </w:rPr>
      <w:tblPr/>
      <w:tcPr>
        <w:shd w:val="clear" w:color="auto" w:fill="53C2E5" w:themeFill="accent2"/>
      </w:tcPr>
    </w:tblStylePr>
    <w:tblStylePr w:type="lastRow">
      <w:rPr>
        <w:b/>
        <w:bCs/>
      </w:rPr>
      <w:tblPr/>
      <w:tcPr>
        <w:tcBorders>
          <w:top w:val="double" w:color="53C2E5"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3C2E5" w:themeColor="accent2" w:sz="4" w:space="0"/>
          <w:right w:val="single" w:color="53C2E5" w:themeColor="accent2" w:sz="4" w:space="0"/>
        </w:tcBorders>
      </w:tcPr>
    </w:tblStylePr>
    <w:tblStylePr w:type="band1Horz">
      <w:tblPr/>
      <w:tcPr>
        <w:tcBorders>
          <w:top w:val="single" w:color="53C2E5" w:themeColor="accent2" w:sz="4" w:space="0"/>
          <w:bottom w:val="single" w:color="53C2E5"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3C2E5" w:themeColor="accent2" w:sz="4" w:space="0"/>
          <w:left w:val="nil"/>
        </w:tcBorders>
      </w:tcPr>
    </w:tblStylePr>
    <w:tblStylePr w:type="swCell">
      <w:tblPr/>
      <w:tcPr>
        <w:tcBorders>
          <w:top w:val="double" w:color="53C2E5" w:themeColor="accent2" w:sz="4" w:space="0"/>
          <w:right w:val="nil"/>
        </w:tcBorders>
      </w:tcPr>
    </w:tblStylePr>
  </w:style>
  <w:style w:type="table" w:styleId="ListTable3-Accent3">
    <w:name w:val="List Table 3 Accent 3"/>
    <w:basedOn w:val="TableNormal"/>
    <w:uiPriority w:val="48"/>
    <w:rsid w:val="00F238C5"/>
    <w:tblPr>
      <w:tblStyleRowBandSize w:val="1"/>
      <w:tblStyleColBandSize w:val="1"/>
      <w:tblBorders>
        <w:top w:val="single" w:color="8996F4" w:themeColor="accent3" w:sz="4" w:space="0"/>
        <w:left w:val="single" w:color="8996F4" w:themeColor="accent3" w:sz="4" w:space="0"/>
        <w:bottom w:val="single" w:color="8996F4" w:themeColor="accent3" w:sz="4" w:space="0"/>
        <w:right w:val="single" w:color="8996F4" w:themeColor="accent3" w:sz="4" w:space="0"/>
      </w:tblBorders>
    </w:tblPr>
    <w:tblStylePr w:type="firstRow">
      <w:rPr>
        <w:b/>
        <w:bCs/>
        <w:color w:val="FFFFFF" w:themeColor="background1"/>
      </w:rPr>
      <w:tblPr/>
      <w:tcPr>
        <w:shd w:val="clear" w:color="auto" w:fill="8996F4" w:themeFill="accent3"/>
      </w:tcPr>
    </w:tblStylePr>
    <w:tblStylePr w:type="lastRow">
      <w:rPr>
        <w:b/>
        <w:bCs/>
      </w:rPr>
      <w:tblPr/>
      <w:tcPr>
        <w:tcBorders>
          <w:top w:val="double" w:color="8996F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996F4" w:themeColor="accent3" w:sz="4" w:space="0"/>
          <w:right w:val="single" w:color="8996F4" w:themeColor="accent3" w:sz="4" w:space="0"/>
        </w:tcBorders>
      </w:tcPr>
    </w:tblStylePr>
    <w:tblStylePr w:type="band1Horz">
      <w:tblPr/>
      <w:tcPr>
        <w:tcBorders>
          <w:top w:val="single" w:color="8996F4" w:themeColor="accent3" w:sz="4" w:space="0"/>
          <w:bottom w:val="single" w:color="8996F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996F4" w:themeColor="accent3" w:sz="4" w:space="0"/>
          <w:left w:val="nil"/>
        </w:tcBorders>
      </w:tcPr>
    </w:tblStylePr>
    <w:tblStylePr w:type="swCell">
      <w:tblPr/>
      <w:tcPr>
        <w:tcBorders>
          <w:top w:val="double" w:color="8996F4" w:themeColor="accent3" w:sz="4" w:space="0"/>
          <w:right w:val="nil"/>
        </w:tcBorders>
      </w:tcPr>
    </w:tblStylePr>
  </w:style>
  <w:style w:type="table" w:styleId="ListTable3-Accent4">
    <w:name w:val="List Table 3 Accent 4"/>
    <w:basedOn w:val="TableNormal"/>
    <w:uiPriority w:val="48"/>
    <w:rsid w:val="00F238C5"/>
    <w:tblPr>
      <w:tblStyleRowBandSize w:val="1"/>
      <w:tblStyleColBandSize w:val="1"/>
      <w:tblBorders>
        <w:top w:val="single" w:color="EAA4EA" w:themeColor="accent4" w:sz="4" w:space="0"/>
        <w:left w:val="single" w:color="EAA4EA" w:themeColor="accent4" w:sz="4" w:space="0"/>
        <w:bottom w:val="single" w:color="EAA4EA" w:themeColor="accent4" w:sz="4" w:space="0"/>
        <w:right w:val="single" w:color="EAA4EA" w:themeColor="accent4" w:sz="4" w:space="0"/>
      </w:tblBorders>
    </w:tblPr>
    <w:tblStylePr w:type="firstRow">
      <w:rPr>
        <w:b/>
        <w:bCs/>
        <w:color w:val="FFFFFF" w:themeColor="background1"/>
      </w:rPr>
      <w:tblPr/>
      <w:tcPr>
        <w:shd w:val="clear" w:color="auto" w:fill="EAA4EA" w:themeFill="accent4"/>
      </w:tcPr>
    </w:tblStylePr>
    <w:tblStylePr w:type="lastRow">
      <w:rPr>
        <w:b/>
        <w:bCs/>
      </w:rPr>
      <w:tblPr/>
      <w:tcPr>
        <w:tcBorders>
          <w:top w:val="double" w:color="EAA4EA"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AA4EA" w:themeColor="accent4" w:sz="4" w:space="0"/>
          <w:right w:val="single" w:color="EAA4EA" w:themeColor="accent4" w:sz="4" w:space="0"/>
        </w:tcBorders>
      </w:tcPr>
    </w:tblStylePr>
    <w:tblStylePr w:type="band1Horz">
      <w:tblPr/>
      <w:tcPr>
        <w:tcBorders>
          <w:top w:val="single" w:color="EAA4EA" w:themeColor="accent4" w:sz="4" w:space="0"/>
          <w:bottom w:val="single" w:color="EAA4EA"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AA4EA" w:themeColor="accent4" w:sz="4" w:space="0"/>
          <w:left w:val="nil"/>
        </w:tcBorders>
      </w:tcPr>
    </w:tblStylePr>
    <w:tblStylePr w:type="swCell">
      <w:tblPr/>
      <w:tcPr>
        <w:tcBorders>
          <w:top w:val="double" w:color="EAA4EA" w:themeColor="accent4" w:sz="4" w:space="0"/>
          <w:right w:val="nil"/>
        </w:tcBorders>
      </w:tcPr>
    </w:tblStylePr>
  </w:style>
  <w:style w:type="table" w:styleId="ListTable3-Accent5">
    <w:name w:val="List Table 3 Accent 5"/>
    <w:basedOn w:val="TableNormal"/>
    <w:uiPriority w:val="48"/>
    <w:rsid w:val="00F238C5"/>
    <w:tblPr>
      <w:tblStyleRowBandSize w:val="1"/>
      <w:tblStyleColBandSize w:val="1"/>
      <w:tblBorders>
        <w:top w:val="single" w:color="FD969C" w:themeColor="accent5" w:sz="4" w:space="0"/>
        <w:left w:val="single" w:color="FD969C" w:themeColor="accent5" w:sz="4" w:space="0"/>
        <w:bottom w:val="single" w:color="FD969C" w:themeColor="accent5" w:sz="4" w:space="0"/>
        <w:right w:val="single" w:color="FD969C" w:themeColor="accent5" w:sz="4" w:space="0"/>
      </w:tblBorders>
    </w:tblPr>
    <w:tblStylePr w:type="firstRow">
      <w:rPr>
        <w:b/>
        <w:bCs/>
        <w:color w:val="FFFFFF" w:themeColor="background1"/>
      </w:rPr>
      <w:tblPr/>
      <w:tcPr>
        <w:shd w:val="clear" w:color="auto" w:fill="FD969C" w:themeFill="accent5"/>
      </w:tcPr>
    </w:tblStylePr>
    <w:tblStylePr w:type="lastRow">
      <w:rPr>
        <w:b/>
        <w:bCs/>
      </w:rPr>
      <w:tblPr/>
      <w:tcPr>
        <w:tcBorders>
          <w:top w:val="double" w:color="FD969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D969C" w:themeColor="accent5" w:sz="4" w:space="0"/>
          <w:right w:val="single" w:color="FD969C" w:themeColor="accent5" w:sz="4" w:space="0"/>
        </w:tcBorders>
      </w:tcPr>
    </w:tblStylePr>
    <w:tblStylePr w:type="band1Horz">
      <w:tblPr/>
      <w:tcPr>
        <w:tcBorders>
          <w:top w:val="single" w:color="FD969C" w:themeColor="accent5" w:sz="4" w:space="0"/>
          <w:bottom w:val="single" w:color="FD969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D969C" w:themeColor="accent5" w:sz="4" w:space="0"/>
          <w:left w:val="nil"/>
        </w:tcBorders>
      </w:tcPr>
    </w:tblStylePr>
    <w:tblStylePr w:type="swCell">
      <w:tblPr/>
      <w:tcPr>
        <w:tcBorders>
          <w:top w:val="double" w:color="FD969C" w:themeColor="accent5" w:sz="4" w:space="0"/>
          <w:right w:val="nil"/>
        </w:tcBorders>
      </w:tcPr>
    </w:tblStylePr>
  </w:style>
  <w:style w:type="table" w:styleId="ListTable3-Accent6">
    <w:name w:val="List Table 3 Accent 6"/>
    <w:basedOn w:val="TableNormal"/>
    <w:uiPriority w:val="48"/>
    <w:rsid w:val="00F238C5"/>
    <w:tblPr>
      <w:tblStyleRowBandSize w:val="1"/>
      <w:tblStyleColBandSize w:val="1"/>
      <w:tblBorders>
        <w:top w:val="single" w:color="B7EFD7" w:themeColor="accent6" w:sz="4" w:space="0"/>
        <w:left w:val="single" w:color="B7EFD7" w:themeColor="accent6" w:sz="4" w:space="0"/>
        <w:bottom w:val="single" w:color="B7EFD7" w:themeColor="accent6" w:sz="4" w:space="0"/>
        <w:right w:val="single" w:color="B7EFD7" w:themeColor="accent6" w:sz="4" w:space="0"/>
      </w:tblBorders>
    </w:tblPr>
    <w:tblStylePr w:type="firstRow">
      <w:rPr>
        <w:b/>
        <w:bCs/>
        <w:color w:val="FFFFFF" w:themeColor="background1"/>
      </w:rPr>
      <w:tblPr/>
      <w:tcPr>
        <w:shd w:val="clear" w:color="auto" w:fill="B7EFD7" w:themeFill="accent6"/>
      </w:tcPr>
    </w:tblStylePr>
    <w:tblStylePr w:type="lastRow">
      <w:rPr>
        <w:b/>
        <w:bCs/>
      </w:rPr>
      <w:tblPr/>
      <w:tcPr>
        <w:tcBorders>
          <w:top w:val="double" w:color="B7EFD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7EFD7" w:themeColor="accent6" w:sz="4" w:space="0"/>
          <w:right w:val="single" w:color="B7EFD7" w:themeColor="accent6" w:sz="4" w:space="0"/>
        </w:tcBorders>
      </w:tcPr>
    </w:tblStylePr>
    <w:tblStylePr w:type="band1Horz">
      <w:tblPr/>
      <w:tcPr>
        <w:tcBorders>
          <w:top w:val="single" w:color="B7EFD7" w:themeColor="accent6" w:sz="4" w:space="0"/>
          <w:bottom w:val="single" w:color="B7EFD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7EFD7" w:themeColor="accent6" w:sz="4" w:space="0"/>
          <w:left w:val="nil"/>
        </w:tcBorders>
      </w:tcPr>
    </w:tblStylePr>
    <w:tblStylePr w:type="swCell">
      <w:tblPr/>
      <w:tcPr>
        <w:tcBorders>
          <w:top w:val="double" w:color="B7EFD7" w:themeColor="accent6" w:sz="4" w:space="0"/>
          <w:right w:val="nil"/>
        </w:tcBorders>
      </w:tcPr>
    </w:tblStylePr>
  </w:style>
  <w:style w:type="table" w:styleId="ListTable4">
    <w:name w:val="List Table 4"/>
    <w:basedOn w:val="TableNormal"/>
    <w:uiPriority w:val="49"/>
    <w:rsid w:val="00F238C5"/>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tblBorders>
    </w:tblPr>
    <w:tblStylePr w:type="firstRow">
      <w:rPr>
        <w:b/>
        <w:bCs/>
        <w:color w:val="FFFFFF" w:themeColor="background1"/>
      </w:rPr>
      <w:tblPr/>
      <w:tcPr>
        <w:tcBorders>
          <w:top w:val="single" w:color="303030" w:themeColor="text1" w:sz="4" w:space="0"/>
          <w:left w:val="single" w:color="303030" w:themeColor="text1" w:sz="4" w:space="0"/>
          <w:bottom w:val="single" w:color="303030" w:themeColor="text1" w:sz="4" w:space="0"/>
          <w:right w:val="single" w:color="303030" w:themeColor="text1" w:sz="4" w:space="0"/>
          <w:insideH w:val="nil"/>
        </w:tcBorders>
        <w:shd w:val="clear" w:color="auto" w:fill="303030" w:themeFill="text1"/>
      </w:tcPr>
    </w:tblStylePr>
    <w:tblStylePr w:type="lastRow">
      <w:rPr>
        <w:b/>
        <w:bCs/>
      </w:rPr>
      <w:tblPr/>
      <w:tcPr>
        <w:tcBorders>
          <w:top w:val="double" w:color="828282" w:themeColor="text1" w:themeTint="99"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4-Accent1">
    <w:name w:val="List Table 4 Accent 1"/>
    <w:basedOn w:val="TableNormal"/>
    <w:uiPriority w:val="49"/>
    <w:rsid w:val="00F238C5"/>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tblBorders>
    </w:tblPr>
    <w:tblStylePr w:type="firstRow">
      <w:rPr>
        <w:b/>
        <w:bCs/>
        <w:color w:val="FFFFFF" w:themeColor="background1"/>
      </w:rPr>
      <w:tblPr/>
      <w:tcPr>
        <w:tcBorders>
          <w:top w:val="single" w:color="88E5BD" w:themeColor="accent1" w:sz="4" w:space="0"/>
          <w:left w:val="single" w:color="88E5BD" w:themeColor="accent1" w:sz="4" w:space="0"/>
          <w:bottom w:val="single" w:color="88E5BD" w:themeColor="accent1" w:sz="4" w:space="0"/>
          <w:right w:val="single" w:color="88E5BD" w:themeColor="accent1" w:sz="4" w:space="0"/>
          <w:insideH w:val="nil"/>
        </w:tcBorders>
        <w:shd w:val="clear" w:color="auto" w:fill="88E5BD" w:themeFill="accent1"/>
      </w:tcPr>
    </w:tblStylePr>
    <w:tblStylePr w:type="lastRow">
      <w:rPr>
        <w:b/>
        <w:bCs/>
      </w:rPr>
      <w:tblPr/>
      <w:tcPr>
        <w:tcBorders>
          <w:top w:val="double" w:color="B7EFD7" w:themeColor="accent1" w:themeTint="99"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4-Accent2">
    <w:name w:val="List Table 4 Accent 2"/>
    <w:basedOn w:val="TableNormal"/>
    <w:uiPriority w:val="49"/>
    <w:rsid w:val="00F238C5"/>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tblBorders>
    </w:tblPr>
    <w:tblStylePr w:type="firstRow">
      <w:rPr>
        <w:b/>
        <w:bCs/>
        <w:color w:val="FFFFFF" w:themeColor="background1"/>
      </w:rPr>
      <w:tblPr/>
      <w:tcPr>
        <w:tcBorders>
          <w:top w:val="single" w:color="53C2E5" w:themeColor="accent2" w:sz="4" w:space="0"/>
          <w:left w:val="single" w:color="53C2E5" w:themeColor="accent2" w:sz="4" w:space="0"/>
          <w:bottom w:val="single" w:color="53C2E5" w:themeColor="accent2" w:sz="4" w:space="0"/>
          <w:right w:val="single" w:color="53C2E5" w:themeColor="accent2" w:sz="4" w:space="0"/>
          <w:insideH w:val="nil"/>
        </w:tcBorders>
        <w:shd w:val="clear" w:color="auto" w:fill="53C2E5" w:themeFill="accent2"/>
      </w:tcPr>
    </w:tblStylePr>
    <w:tblStylePr w:type="lastRow">
      <w:rPr>
        <w:b/>
        <w:bCs/>
      </w:rPr>
      <w:tblPr/>
      <w:tcPr>
        <w:tcBorders>
          <w:top w:val="double" w:color="97DAEF" w:themeColor="accent2" w:themeTint="99"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4-Accent3">
    <w:name w:val="List Table 4 Accent 3"/>
    <w:basedOn w:val="TableNormal"/>
    <w:uiPriority w:val="49"/>
    <w:rsid w:val="00F238C5"/>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tblBorders>
    </w:tblPr>
    <w:tblStylePr w:type="firstRow">
      <w:rPr>
        <w:b/>
        <w:bCs/>
        <w:color w:val="FFFFFF" w:themeColor="background1"/>
      </w:rPr>
      <w:tblPr/>
      <w:tcPr>
        <w:tcBorders>
          <w:top w:val="single" w:color="8996F4" w:themeColor="accent3" w:sz="4" w:space="0"/>
          <w:left w:val="single" w:color="8996F4" w:themeColor="accent3" w:sz="4" w:space="0"/>
          <w:bottom w:val="single" w:color="8996F4" w:themeColor="accent3" w:sz="4" w:space="0"/>
          <w:right w:val="single" w:color="8996F4" w:themeColor="accent3" w:sz="4" w:space="0"/>
          <w:insideH w:val="nil"/>
        </w:tcBorders>
        <w:shd w:val="clear" w:color="auto" w:fill="8996F4" w:themeFill="accent3"/>
      </w:tcPr>
    </w:tblStylePr>
    <w:tblStylePr w:type="lastRow">
      <w:rPr>
        <w:b/>
        <w:bCs/>
      </w:rPr>
      <w:tblPr/>
      <w:tcPr>
        <w:tcBorders>
          <w:top w:val="double" w:color="B7BFF8" w:themeColor="accent3" w:themeTint="99"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4-Accent4">
    <w:name w:val="List Table 4 Accent 4"/>
    <w:basedOn w:val="TableNormal"/>
    <w:uiPriority w:val="49"/>
    <w:rsid w:val="00F238C5"/>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tblBorders>
    </w:tblPr>
    <w:tblStylePr w:type="firstRow">
      <w:rPr>
        <w:b/>
        <w:bCs/>
        <w:color w:val="FFFFFF" w:themeColor="background1"/>
      </w:rPr>
      <w:tblPr/>
      <w:tcPr>
        <w:tcBorders>
          <w:top w:val="single" w:color="EAA4EA" w:themeColor="accent4" w:sz="4" w:space="0"/>
          <w:left w:val="single" w:color="EAA4EA" w:themeColor="accent4" w:sz="4" w:space="0"/>
          <w:bottom w:val="single" w:color="EAA4EA" w:themeColor="accent4" w:sz="4" w:space="0"/>
          <w:right w:val="single" w:color="EAA4EA" w:themeColor="accent4" w:sz="4" w:space="0"/>
          <w:insideH w:val="nil"/>
        </w:tcBorders>
        <w:shd w:val="clear" w:color="auto" w:fill="EAA4EA" w:themeFill="accent4"/>
      </w:tcPr>
    </w:tblStylePr>
    <w:tblStylePr w:type="lastRow">
      <w:rPr>
        <w:b/>
        <w:bCs/>
      </w:rPr>
      <w:tblPr/>
      <w:tcPr>
        <w:tcBorders>
          <w:top w:val="double" w:color="F2C8F2" w:themeColor="accent4" w:themeTint="99"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4-Accent5">
    <w:name w:val="List Table 4 Accent 5"/>
    <w:basedOn w:val="TableNormal"/>
    <w:uiPriority w:val="49"/>
    <w:rsid w:val="00F238C5"/>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tblBorders>
    </w:tblPr>
    <w:tblStylePr w:type="firstRow">
      <w:rPr>
        <w:b/>
        <w:bCs/>
        <w:color w:val="FFFFFF" w:themeColor="background1"/>
      </w:rPr>
      <w:tblPr/>
      <w:tcPr>
        <w:tcBorders>
          <w:top w:val="single" w:color="FD969C" w:themeColor="accent5" w:sz="4" w:space="0"/>
          <w:left w:val="single" w:color="FD969C" w:themeColor="accent5" w:sz="4" w:space="0"/>
          <w:bottom w:val="single" w:color="FD969C" w:themeColor="accent5" w:sz="4" w:space="0"/>
          <w:right w:val="single" w:color="FD969C" w:themeColor="accent5" w:sz="4" w:space="0"/>
          <w:insideH w:val="nil"/>
        </w:tcBorders>
        <w:shd w:val="clear" w:color="auto" w:fill="FD969C" w:themeFill="accent5"/>
      </w:tcPr>
    </w:tblStylePr>
    <w:tblStylePr w:type="lastRow">
      <w:rPr>
        <w:b/>
        <w:bCs/>
      </w:rPr>
      <w:tblPr/>
      <w:tcPr>
        <w:tcBorders>
          <w:top w:val="double" w:color="FDBFC3" w:themeColor="accent5" w:themeTint="99"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4-Accent6">
    <w:name w:val="List Table 4 Accent 6"/>
    <w:basedOn w:val="TableNormal"/>
    <w:uiPriority w:val="49"/>
    <w:rsid w:val="00F238C5"/>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tblBorders>
    </w:tblPr>
    <w:tblStylePr w:type="firstRow">
      <w:rPr>
        <w:b/>
        <w:bCs/>
        <w:color w:val="FFFFFF" w:themeColor="background1"/>
      </w:rPr>
      <w:tblPr/>
      <w:tcPr>
        <w:tcBorders>
          <w:top w:val="single" w:color="B7EFD7" w:themeColor="accent6" w:sz="4" w:space="0"/>
          <w:left w:val="single" w:color="B7EFD7" w:themeColor="accent6" w:sz="4" w:space="0"/>
          <w:bottom w:val="single" w:color="B7EFD7" w:themeColor="accent6" w:sz="4" w:space="0"/>
          <w:right w:val="single" w:color="B7EFD7" w:themeColor="accent6" w:sz="4" w:space="0"/>
          <w:insideH w:val="nil"/>
        </w:tcBorders>
        <w:shd w:val="clear" w:color="auto" w:fill="B7EFD7" w:themeFill="accent6"/>
      </w:tcPr>
    </w:tblStylePr>
    <w:tblStylePr w:type="lastRow">
      <w:rPr>
        <w:b/>
        <w:bCs/>
      </w:rPr>
      <w:tblPr/>
      <w:tcPr>
        <w:tcBorders>
          <w:top w:val="double" w:color="D3F5E6"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5Dark">
    <w:name w:val="List Table 5 Dark"/>
    <w:basedOn w:val="TableNormal"/>
    <w:uiPriority w:val="50"/>
    <w:rsid w:val="00F238C5"/>
    <w:rPr>
      <w:color w:val="FFFFFF" w:themeColor="background1"/>
    </w:rPr>
    <w:tblPr>
      <w:tblStyleRowBandSize w:val="1"/>
      <w:tblStyleColBandSize w:val="1"/>
      <w:tblBorders>
        <w:top w:val="single" w:color="303030" w:themeColor="text1" w:sz="24" w:space="0"/>
        <w:left w:val="single" w:color="303030" w:themeColor="text1" w:sz="24" w:space="0"/>
        <w:bottom w:val="single" w:color="303030" w:themeColor="text1" w:sz="24" w:space="0"/>
        <w:right w:val="single" w:color="303030" w:themeColor="text1" w:sz="24" w:space="0"/>
      </w:tblBorders>
    </w:tblPr>
    <w:tcPr>
      <w:shd w:val="clear" w:color="auto" w:fill="30303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238C5"/>
    <w:rPr>
      <w:color w:val="FFFFFF" w:themeColor="background1"/>
    </w:rPr>
    <w:tblPr>
      <w:tblStyleRowBandSize w:val="1"/>
      <w:tblStyleColBandSize w:val="1"/>
      <w:tblBorders>
        <w:top w:val="single" w:color="88E5BD" w:themeColor="accent1" w:sz="24" w:space="0"/>
        <w:left w:val="single" w:color="88E5BD" w:themeColor="accent1" w:sz="24" w:space="0"/>
        <w:bottom w:val="single" w:color="88E5BD" w:themeColor="accent1" w:sz="24" w:space="0"/>
        <w:right w:val="single" w:color="88E5BD" w:themeColor="accent1" w:sz="24" w:space="0"/>
      </w:tblBorders>
    </w:tblPr>
    <w:tcPr>
      <w:shd w:val="clear" w:color="auto" w:fill="88E5B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238C5"/>
    <w:rPr>
      <w:color w:val="FFFFFF" w:themeColor="background1"/>
    </w:rPr>
    <w:tblPr>
      <w:tblStyleRowBandSize w:val="1"/>
      <w:tblStyleColBandSize w:val="1"/>
      <w:tblBorders>
        <w:top w:val="single" w:color="53C2E5" w:themeColor="accent2" w:sz="24" w:space="0"/>
        <w:left w:val="single" w:color="53C2E5" w:themeColor="accent2" w:sz="24" w:space="0"/>
        <w:bottom w:val="single" w:color="53C2E5" w:themeColor="accent2" w:sz="24" w:space="0"/>
        <w:right w:val="single" w:color="53C2E5" w:themeColor="accent2" w:sz="24" w:space="0"/>
      </w:tblBorders>
    </w:tblPr>
    <w:tcPr>
      <w:shd w:val="clear" w:color="auto" w:fill="53C2E5"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238C5"/>
    <w:rPr>
      <w:color w:val="FFFFFF" w:themeColor="background1"/>
    </w:rPr>
    <w:tblPr>
      <w:tblStyleRowBandSize w:val="1"/>
      <w:tblStyleColBandSize w:val="1"/>
      <w:tblBorders>
        <w:top w:val="single" w:color="8996F4" w:themeColor="accent3" w:sz="24" w:space="0"/>
        <w:left w:val="single" w:color="8996F4" w:themeColor="accent3" w:sz="24" w:space="0"/>
        <w:bottom w:val="single" w:color="8996F4" w:themeColor="accent3" w:sz="24" w:space="0"/>
        <w:right w:val="single" w:color="8996F4" w:themeColor="accent3" w:sz="24" w:space="0"/>
      </w:tblBorders>
    </w:tblPr>
    <w:tcPr>
      <w:shd w:val="clear" w:color="auto" w:fill="8996F4"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238C5"/>
    <w:rPr>
      <w:color w:val="FFFFFF" w:themeColor="background1"/>
    </w:rPr>
    <w:tblPr>
      <w:tblStyleRowBandSize w:val="1"/>
      <w:tblStyleColBandSize w:val="1"/>
      <w:tblBorders>
        <w:top w:val="single" w:color="EAA4EA" w:themeColor="accent4" w:sz="24" w:space="0"/>
        <w:left w:val="single" w:color="EAA4EA" w:themeColor="accent4" w:sz="24" w:space="0"/>
        <w:bottom w:val="single" w:color="EAA4EA" w:themeColor="accent4" w:sz="24" w:space="0"/>
        <w:right w:val="single" w:color="EAA4EA" w:themeColor="accent4" w:sz="24" w:space="0"/>
      </w:tblBorders>
    </w:tblPr>
    <w:tcPr>
      <w:shd w:val="clear" w:color="auto" w:fill="EAA4EA"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238C5"/>
    <w:rPr>
      <w:color w:val="FFFFFF" w:themeColor="background1"/>
    </w:rPr>
    <w:tblPr>
      <w:tblStyleRowBandSize w:val="1"/>
      <w:tblStyleColBandSize w:val="1"/>
      <w:tblBorders>
        <w:top w:val="single" w:color="FD969C" w:themeColor="accent5" w:sz="24" w:space="0"/>
        <w:left w:val="single" w:color="FD969C" w:themeColor="accent5" w:sz="24" w:space="0"/>
        <w:bottom w:val="single" w:color="FD969C" w:themeColor="accent5" w:sz="24" w:space="0"/>
        <w:right w:val="single" w:color="FD969C" w:themeColor="accent5" w:sz="24" w:space="0"/>
      </w:tblBorders>
    </w:tblPr>
    <w:tcPr>
      <w:shd w:val="clear" w:color="auto" w:fill="FD969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238C5"/>
    <w:rPr>
      <w:color w:val="FFFFFF" w:themeColor="background1"/>
    </w:rPr>
    <w:tblPr>
      <w:tblStyleRowBandSize w:val="1"/>
      <w:tblStyleColBandSize w:val="1"/>
      <w:tblBorders>
        <w:top w:val="single" w:color="B7EFD7" w:themeColor="accent6" w:sz="24" w:space="0"/>
        <w:left w:val="single" w:color="B7EFD7" w:themeColor="accent6" w:sz="24" w:space="0"/>
        <w:bottom w:val="single" w:color="B7EFD7" w:themeColor="accent6" w:sz="24" w:space="0"/>
        <w:right w:val="single" w:color="B7EFD7" w:themeColor="accent6" w:sz="24" w:space="0"/>
      </w:tblBorders>
    </w:tblPr>
    <w:tcPr>
      <w:shd w:val="clear" w:color="auto" w:fill="B7EFD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238C5"/>
    <w:rPr>
      <w:color w:val="303030" w:themeColor="text1"/>
    </w:rPr>
    <w:tblPr>
      <w:tblStyleRowBandSize w:val="1"/>
      <w:tblStyleColBandSize w:val="1"/>
      <w:tblBorders>
        <w:top w:val="single" w:color="303030" w:themeColor="text1" w:sz="4" w:space="0"/>
        <w:bottom w:val="single" w:color="303030" w:themeColor="text1" w:sz="4" w:space="0"/>
      </w:tblBorders>
    </w:tblPr>
    <w:tblStylePr w:type="firstRow">
      <w:rPr>
        <w:b/>
        <w:bCs/>
      </w:rPr>
      <w:tblPr/>
      <w:tcPr>
        <w:tcBorders>
          <w:bottom w:val="single" w:color="303030" w:themeColor="text1" w:sz="4" w:space="0"/>
        </w:tcBorders>
      </w:tcPr>
    </w:tblStylePr>
    <w:tblStylePr w:type="lastRow">
      <w:rPr>
        <w:b/>
        <w:bCs/>
      </w:rPr>
      <w:tblPr/>
      <w:tcPr>
        <w:tcBorders>
          <w:top w:val="double" w:color="303030" w:themeColor="text1"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6Colorful-Accent1">
    <w:name w:val="List Table 6 Colorful Accent 1"/>
    <w:basedOn w:val="TableNormal"/>
    <w:uiPriority w:val="51"/>
    <w:rsid w:val="00F238C5"/>
    <w:rPr>
      <w:color w:val="3CD493" w:themeColor="accent1" w:themeShade="BF"/>
    </w:rPr>
    <w:tblPr>
      <w:tblStyleRowBandSize w:val="1"/>
      <w:tblStyleColBandSize w:val="1"/>
      <w:tblBorders>
        <w:top w:val="single" w:color="88E5BD" w:themeColor="accent1" w:sz="4" w:space="0"/>
        <w:bottom w:val="single" w:color="88E5BD" w:themeColor="accent1" w:sz="4" w:space="0"/>
      </w:tblBorders>
    </w:tblPr>
    <w:tblStylePr w:type="firstRow">
      <w:rPr>
        <w:b/>
        <w:bCs/>
      </w:rPr>
      <w:tblPr/>
      <w:tcPr>
        <w:tcBorders>
          <w:bottom w:val="single" w:color="88E5BD" w:themeColor="accent1" w:sz="4" w:space="0"/>
        </w:tcBorders>
      </w:tcPr>
    </w:tblStylePr>
    <w:tblStylePr w:type="lastRow">
      <w:rPr>
        <w:b/>
        <w:bCs/>
      </w:rPr>
      <w:tblPr/>
      <w:tcPr>
        <w:tcBorders>
          <w:top w:val="double" w:color="88E5BD" w:themeColor="accent1"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6Colorful-Accent2">
    <w:name w:val="List Table 6 Colorful Accent 2"/>
    <w:basedOn w:val="TableNormal"/>
    <w:uiPriority w:val="51"/>
    <w:rsid w:val="00F238C5"/>
    <w:rPr>
      <w:color w:val="1EA1CA" w:themeColor="accent2" w:themeShade="BF"/>
    </w:rPr>
    <w:tblPr>
      <w:tblStyleRowBandSize w:val="1"/>
      <w:tblStyleColBandSize w:val="1"/>
      <w:tblBorders>
        <w:top w:val="single" w:color="53C2E5" w:themeColor="accent2" w:sz="4" w:space="0"/>
        <w:bottom w:val="single" w:color="53C2E5" w:themeColor="accent2" w:sz="4" w:space="0"/>
      </w:tblBorders>
    </w:tblPr>
    <w:tblStylePr w:type="firstRow">
      <w:rPr>
        <w:b/>
        <w:bCs/>
      </w:rPr>
      <w:tblPr/>
      <w:tcPr>
        <w:tcBorders>
          <w:bottom w:val="single" w:color="53C2E5" w:themeColor="accent2" w:sz="4" w:space="0"/>
        </w:tcBorders>
      </w:tcPr>
    </w:tblStylePr>
    <w:tblStylePr w:type="lastRow">
      <w:rPr>
        <w:b/>
        <w:bCs/>
      </w:rPr>
      <w:tblPr/>
      <w:tcPr>
        <w:tcBorders>
          <w:top w:val="double" w:color="53C2E5" w:themeColor="accent2"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6Colorful-Accent3">
    <w:name w:val="List Table 6 Colorful Accent 3"/>
    <w:basedOn w:val="TableNormal"/>
    <w:uiPriority w:val="51"/>
    <w:rsid w:val="00F238C5"/>
    <w:rPr>
      <w:color w:val="3147EC" w:themeColor="accent3" w:themeShade="BF"/>
    </w:rPr>
    <w:tblPr>
      <w:tblStyleRowBandSize w:val="1"/>
      <w:tblStyleColBandSize w:val="1"/>
      <w:tblBorders>
        <w:top w:val="single" w:color="8996F4" w:themeColor="accent3" w:sz="4" w:space="0"/>
        <w:bottom w:val="single" w:color="8996F4" w:themeColor="accent3" w:sz="4" w:space="0"/>
      </w:tblBorders>
    </w:tblPr>
    <w:tblStylePr w:type="firstRow">
      <w:rPr>
        <w:b/>
        <w:bCs/>
      </w:rPr>
      <w:tblPr/>
      <w:tcPr>
        <w:tcBorders>
          <w:bottom w:val="single" w:color="8996F4" w:themeColor="accent3" w:sz="4" w:space="0"/>
        </w:tcBorders>
      </w:tcPr>
    </w:tblStylePr>
    <w:tblStylePr w:type="lastRow">
      <w:rPr>
        <w:b/>
        <w:bCs/>
      </w:rPr>
      <w:tblPr/>
      <w:tcPr>
        <w:tcBorders>
          <w:top w:val="double" w:color="8996F4" w:themeColor="accent3"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6Colorful-Accent4">
    <w:name w:val="List Table 6 Colorful Accent 4"/>
    <w:basedOn w:val="TableNormal"/>
    <w:uiPriority w:val="51"/>
    <w:rsid w:val="00F238C5"/>
    <w:rPr>
      <w:color w:val="D752D7" w:themeColor="accent4" w:themeShade="BF"/>
    </w:rPr>
    <w:tblPr>
      <w:tblStyleRowBandSize w:val="1"/>
      <w:tblStyleColBandSize w:val="1"/>
      <w:tblBorders>
        <w:top w:val="single" w:color="EAA4EA" w:themeColor="accent4" w:sz="4" w:space="0"/>
        <w:bottom w:val="single" w:color="EAA4EA" w:themeColor="accent4" w:sz="4" w:space="0"/>
      </w:tblBorders>
    </w:tblPr>
    <w:tblStylePr w:type="firstRow">
      <w:rPr>
        <w:b/>
        <w:bCs/>
      </w:rPr>
      <w:tblPr/>
      <w:tcPr>
        <w:tcBorders>
          <w:bottom w:val="single" w:color="EAA4EA" w:themeColor="accent4" w:sz="4" w:space="0"/>
        </w:tcBorders>
      </w:tcPr>
    </w:tblStylePr>
    <w:tblStylePr w:type="lastRow">
      <w:rPr>
        <w:b/>
        <w:bCs/>
      </w:rPr>
      <w:tblPr/>
      <w:tcPr>
        <w:tcBorders>
          <w:top w:val="double" w:color="EAA4EA" w:themeColor="accent4"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6Colorful-Accent5">
    <w:name w:val="List Table 6 Colorful Accent 5"/>
    <w:basedOn w:val="TableNormal"/>
    <w:uiPriority w:val="51"/>
    <w:rsid w:val="00F238C5"/>
    <w:rPr>
      <w:color w:val="FB323D" w:themeColor="accent5" w:themeShade="BF"/>
    </w:rPr>
    <w:tblPr>
      <w:tblStyleRowBandSize w:val="1"/>
      <w:tblStyleColBandSize w:val="1"/>
      <w:tblBorders>
        <w:top w:val="single" w:color="FD969C" w:themeColor="accent5" w:sz="4" w:space="0"/>
        <w:bottom w:val="single" w:color="FD969C" w:themeColor="accent5" w:sz="4" w:space="0"/>
      </w:tblBorders>
    </w:tblPr>
    <w:tblStylePr w:type="firstRow">
      <w:rPr>
        <w:b/>
        <w:bCs/>
      </w:rPr>
      <w:tblPr/>
      <w:tcPr>
        <w:tcBorders>
          <w:bottom w:val="single" w:color="FD969C" w:themeColor="accent5" w:sz="4" w:space="0"/>
        </w:tcBorders>
      </w:tcPr>
    </w:tblStylePr>
    <w:tblStylePr w:type="lastRow">
      <w:rPr>
        <w:b/>
        <w:bCs/>
      </w:rPr>
      <w:tblPr/>
      <w:tcPr>
        <w:tcBorders>
          <w:top w:val="double" w:color="FD969C" w:themeColor="accent5"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6Colorful-Accent6">
    <w:name w:val="List Table 6 Colorful Accent 6"/>
    <w:basedOn w:val="TableNormal"/>
    <w:uiPriority w:val="51"/>
    <w:rsid w:val="00F238C5"/>
    <w:rPr>
      <w:color w:val="60DBA6" w:themeColor="accent6" w:themeShade="BF"/>
    </w:rPr>
    <w:tblPr>
      <w:tblStyleRowBandSize w:val="1"/>
      <w:tblStyleColBandSize w:val="1"/>
      <w:tblBorders>
        <w:top w:val="single" w:color="B7EFD7" w:themeColor="accent6" w:sz="4" w:space="0"/>
        <w:bottom w:val="single" w:color="B7EFD7" w:themeColor="accent6" w:sz="4" w:space="0"/>
      </w:tblBorders>
    </w:tblPr>
    <w:tblStylePr w:type="firstRow">
      <w:rPr>
        <w:b/>
        <w:bCs/>
      </w:rPr>
      <w:tblPr/>
      <w:tcPr>
        <w:tcBorders>
          <w:bottom w:val="single" w:color="B7EFD7" w:themeColor="accent6" w:sz="4" w:space="0"/>
        </w:tcBorders>
      </w:tcPr>
    </w:tblStylePr>
    <w:tblStylePr w:type="lastRow">
      <w:rPr>
        <w:b/>
        <w:bCs/>
      </w:rPr>
      <w:tblPr/>
      <w:tcPr>
        <w:tcBorders>
          <w:top w:val="double" w:color="B7EFD7" w:themeColor="accent6"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7Colorful">
    <w:name w:val="List Table 7 Colorful"/>
    <w:basedOn w:val="TableNormal"/>
    <w:uiPriority w:val="52"/>
    <w:rsid w:val="00F238C5"/>
    <w:rPr>
      <w:color w:val="30303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30303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0303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0303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03030" w:themeColor="text1" w:sz="4" w:space="0"/>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238C5"/>
    <w:rPr>
      <w:color w:val="3CD493"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8E5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8E5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8E5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8E5BD" w:themeColor="accent1" w:sz="4" w:space="0"/>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238C5"/>
    <w:rPr>
      <w:color w:val="1EA1C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3C2E5"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3C2E5"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3C2E5"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3C2E5" w:themeColor="accent2" w:sz="4" w:space="0"/>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238C5"/>
    <w:rPr>
      <w:color w:val="3147EC"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996F4"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996F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996F4"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996F4" w:themeColor="accent3" w:sz="4" w:space="0"/>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238C5"/>
    <w:rPr>
      <w:color w:val="D752D7"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AA4EA"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AA4EA"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AA4EA"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AA4EA" w:themeColor="accent4" w:sz="4" w:space="0"/>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238C5"/>
    <w:rPr>
      <w:color w:val="FB323D"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D969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D969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D969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D969C" w:themeColor="accent5" w:sz="4" w:space="0"/>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238C5"/>
    <w:rPr>
      <w:color w:val="60DBA6"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7EFD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7EFD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7EFD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7EFD7" w:themeColor="accent6" w:sz="4" w:space="0"/>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F238C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HAnsi" w:cstheme="minorBidi"/>
      <w:sz w:val="20"/>
      <w:szCs w:val="20"/>
      <w:lang w:eastAsia="en-US"/>
    </w:rPr>
  </w:style>
  <w:style w:type="character" w:styleId="MacroTextChar" w:customStyle="1">
    <w:name w:val="Macro Text Char"/>
    <w:basedOn w:val="DefaultParagraphFont"/>
    <w:link w:val="MacroText"/>
    <w:uiPriority w:val="99"/>
    <w:semiHidden/>
    <w:rsid w:val="00F238C5"/>
    <w:rPr>
      <w:rFonts w:ascii="Consolas" w:hAnsi="Consolas" w:eastAsiaTheme="minorHAnsi" w:cstheme="minorBidi"/>
      <w:sz w:val="20"/>
      <w:szCs w:val="20"/>
      <w:lang w:eastAsia="en-US"/>
    </w:rPr>
  </w:style>
  <w:style w:type="table" w:styleId="MediumGrid1">
    <w:name w:val="Medium Grid 1"/>
    <w:basedOn w:val="TableNormal"/>
    <w:uiPriority w:val="67"/>
    <w:semiHidden/>
    <w:rsid w:val="00F238C5"/>
    <w:tblPr>
      <w:tblStyleRowBandSize w:val="1"/>
      <w:tblStyleColBandSize w:val="1"/>
      <w:tblBorders>
        <w:top w:val="single" w:color="636363" w:themeColor="text1" w:themeTint="BF" w:sz="8" w:space="0"/>
        <w:left w:val="single" w:color="636363" w:themeColor="text1" w:themeTint="BF" w:sz="8" w:space="0"/>
        <w:bottom w:val="single" w:color="636363" w:themeColor="text1" w:themeTint="BF" w:sz="8" w:space="0"/>
        <w:right w:val="single" w:color="636363" w:themeColor="text1" w:themeTint="BF" w:sz="8" w:space="0"/>
        <w:insideH w:val="single" w:color="636363" w:themeColor="text1" w:themeTint="BF" w:sz="8" w:space="0"/>
        <w:insideV w:val="single" w:color="636363" w:themeColor="text1" w:themeTint="BF" w:sz="8" w:space="0"/>
      </w:tblBorders>
    </w:tblPr>
    <w:tcPr>
      <w:shd w:val="clear" w:color="auto" w:fill="CBCBCB" w:themeFill="text1" w:themeFillTint="3F"/>
    </w:tcPr>
    <w:tblStylePr w:type="firstRow">
      <w:rPr>
        <w:b/>
        <w:bCs/>
      </w:rPr>
    </w:tblStylePr>
    <w:tblStylePr w:type="lastRow">
      <w:rPr>
        <w:b/>
        <w:bCs/>
      </w:rPr>
      <w:tblPr/>
      <w:tcPr>
        <w:tcBorders>
          <w:top w:val="single" w:color="636363" w:themeColor="text1" w:themeTint="BF" w:sz="18" w:space="0"/>
        </w:tcBorders>
      </w:tcPr>
    </w:tblStylePr>
    <w:tblStylePr w:type="firstCol">
      <w:rPr>
        <w:b/>
        <w:bCs/>
      </w:rPr>
    </w:tblStylePr>
    <w:tblStylePr w:type="lastCol">
      <w:rPr>
        <w:b/>
        <w:bCs/>
      </w:r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MediumGrid1-Accent1">
    <w:name w:val="Medium Grid 1 Accent 1"/>
    <w:basedOn w:val="TableNormal"/>
    <w:uiPriority w:val="67"/>
    <w:semiHidden/>
    <w:rsid w:val="00F238C5"/>
    <w:tblPr>
      <w:tblStyleRowBandSize w:val="1"/>
      <w:tblStyleColBandSize w:val="1"/>
      <w:tblBorders>
        <w:top w:val="single" w:color="A5EBCD" w:themeColor="accent1" w:themeTint="BF" w:sz="8" w:space="0"/>
        <w:left w:val="single" w:color="A5EBCD" w:themeColor="accent1" w:themeTint="BF" w:sz="8" w:space="0"/>
        <w:bottom w:val="single" w:color="A5EBCD" w:themeColor="accent1" w:themeTint="BF" w:sz="8" w:space="0"/>
        <w:right w:val="single" w:color="A5EBCD" w:themeColor="accent1" w:themeTint="BF" w:sz="8" w:space="0"/>
        <w:insideH w:val="single" w:color="A5EBCD" w:themeColor="accent1" w:themeTint="BF" w:sz="8" w:space="0"/>
        <w:insideV w:val="single" w:color="A5EBCD" w:themeColor="accent1" w:themeTint="BF" w:sz="8" w:space="0"/>
      </w:tblBorders>
    </w:tblPr>
    <w:tcPr>
      <w:shd w:val="clear" w:color="auto" w:fill="E1F8EE" w:themeFill="accent1" w:themeFillTint="3F"/>
    </w:tcPr>
    <w:tblStylePr w:type="firstRow">
      <w:rPr>
        <w:b/>
        <w:bCs/>
      </w:rPr>
    </w:tblStylePr>
    <w:tblStylePr w:type="lastRow">
      <w:rPr>
        <w:b/>
        <w:bCs/>
      </w:rPr>
      <w:tblPr/>
      <w:tcPr>
        <w:tcBorders>
          <w:top w:val="single" w:color="A5EBCD" w:themeColor="accent1" w:themeTint="BF" w:sz="18" w:space="0"/>
        </w:tcBorders>
      </w:tcPr>
    </w:tblStylePr>
    <w:tblStylePr w:type="firstCol">
      <w:rPr>
        <w:b/>
        <w:bCs/>
      </w:rPr>
    </w:tblStylePr>
    <w:tblStylePr w:type="lastCol">
      <w:rPr>
        <w:b/>
        <w:bCs/>
      </w:rPr>
    </w:tblStylePr>
    <w:tblStylePr w:type="band1Vert">
      <w:tblPr/>
      <w:tcPr>
        <w:shd w:val="clear" w:color="auto" w:fill="C3F2DE" w:themeFill="accent1" w:themeFillTint="7F"/>
      </w:tcPr>
    </w:tblStylePr>
    <w:tblStylePr w:type="band1Horz">
      <w:tblPr/>
      <w:tcPr>
        <w:shd w:val="clear" w:color="auto" w:fill="C3F2DE" w:themeFill="accent1" w:themeFillTint="7F"/>
      </w:tcPr>
    </w:tblStylePr>
  </w:style>
  <w:style w:type="table" w:styleId="MediumGrid1-Accent2">
    <w:name w:val="Medium Grid 1 Accent 2"/>
    <w:basedOn w:val="TableNormal"/>
    <w:uiPriority w:val="67"/>
    <w:semiHidden/>
    <w:rsid w:val="00F238C5"/>
    <w:tblPr>
      <w:tblStyleRowBandSize w:val="1"/>
      <w:tblStyleColBandSize w:val="1"/>
      <w:tblBorders>
        <w:top w:val="single" w:color="7ED1EB" w:themeColor="accent2" w:themeTint="BF" w:sz="8" w:space="0"/>
        <w:left w:val="single" w:color="7ED1EB" w:themeColor="accent2" w:themeTint="BF" w:sz="8" w:space="0"/>
        <w:bottom w:val="single" w:color="7ED1EB" w:themeColor="accent2" w:themeTint="BF" w:sz="8" w:space="0"/>
        <w:right w:val="single" w:color="7ED1EB" w:themeColor="accent2" w:themeTint="BF" w:sz="8" w:space="0"/>
        <w:insideH w:val="single" w:color="7ED1EB" w:themeColor="accent2" w:themeTint="BF" w:sz="8" w:space="0"/>
        <w:insideV w:val="single" w:color="7ED1EB" w:themeColor="accent2" w:themeTint="BF" w:sz="8" w:space="0"/>
      </w:tblBorders>
    </w:tblPr>
    <w:tcPr>
      <w:shd w:val="clear" w:color="auto" w:fill="D4EFF8" w:themeFill="accent2" w:themeFillTint="3F"/>
    </w:tcPr>
    <w:tblStylePr w:type="firstRow">
      <w:rPr>
        <w:b/>
        <w:bCs/>
      </w:rPr>
    </w:tblStylePr>
    <w:tblStylePr w:type="lastRow">
      <w:rPr>
        <w:b/>
        <w:bCs/>
      </w:rPr>
      <w:tblPr/>
      <w:tcPr>
        <w:tcBorders>
          <w:top w:val="single" w:color="7ED1EB" w:themeColor="accent2" w:themeTint="BF" w:sz="18" w:space="0"/>
        </w:tcBorders>
      </w:tcPr>
    </w:tblStylePr>
    <w:tblStylePr w:type="firstCol">
      <w:rPr>
        <w:b/>
        <w:bCs/>
      </w:rPr>
    </w:tblStylePr>
    <w:tblStylePr w:type="lastCol">
      <w:rPr>
        <w:b/>
        <w:bCs/>
      </w:rPr>
    </w:tblStylePr>
    <w:tblStylePr w:type="band1Vert">
      <w:tblPr/>
      <w:tcPr>
        <w:shd w:val="clear" w:color="auto" w:fill="A9E0F2" w:themeFill="accent2" w:themeFillTint="7F"/>
      </w:tcPr>
    </w:tblStylePr>
    <w:tblStylePr w:type="band1Horz">
      <w:tblPr/>
      <w:tcPr>
        <w:shd w:val="clear" w:color="auto" w:fill="A9E0F2" w:themeFill="accent2" w:themeFillTint="7F"/>
      </w:tcPr>
    </w:tblStylePr>
  </w:style>
  <w:style w:type="table" w:styleId="MediumGrid1-Accent3">
    <w:name w:val="Medium Grid 1 Accent 3"/>
    <w:basedOn w:val="TableNormal"/>
    <w:uiPriority w:val="67"/>
    <w:semiHidden/>
    <w:rsid w:val="00F238C5"/>
    <w:tblPr>
      <w:tblStyleRowBandSize w:val="1"/>
      <w:tblStyleColBandSize w:val="1"/>
      <w:tblBorders>
        <w:top w:val="single" w:color="A6AFF6" w:themeColor="accent3" w:themeTint="BF" w:sz="8" w:space="0"/>
        <w:left w:val="single" w:color="A6AFF6" w:themeColor="accent3" w:themeTint="BF" w:sz="8" w:space="0"/>
        <w:bottom w:val="single" w:color="A6AFF6" w:themeColor="accent3" w:themeTint="BF" w:sz="8" w:space="0"/>
        <w:right w:val="single" w:color="A6AFF6" w:themeColor="accent3" w:themeTint="BF" w:sz="8" w:space="0"/>
        <w:insideH w:val="single" w:color="A6AFF6" w:themeColor="accent3" w:themeTint="BF" w:sz="8" w:space="0"/>
        <w:insideV w:val="single" w:color="A6AFF6" w:themeColor="accent3" w:themeTint="BF" w:sz="8" w:space="0"/>
      </w:tblBorders>
    </w:tblPr>
    <w:tcPr>
      <w:shd w:val="clear" w:color="auto" w:fill="E1E4FC" w:themeFill="accent3" w:themeFillTint="3F"/>
    </w:tcPr>
    <w:tblStylePr w:type="firstRow">
      <w:rPr>
        <w:b/>
        <w:bCs/>
      </w:rPr>
    </w:tblStylePr>
    <w:tblStylePr w:type="lastRow">
      <w:rPr>
        <w:b/>
        <w:bCs/>
      </w:rPr>
      <w:tblPr/>
      <w:tcPr>
        <w:tcBorders>
          <w:top w:val="single" w:color="A6AFF6" w:themeColor="accent3" w:themeTint="BF" w:sz="18" w:space="0"/>
        </w:tcBorders>
      </w:tcPr>
    </w:tblStylePr>
    <w:tblStylePr w:type="firstCol">
      <w:rPr>
        <w:b/>
        <w:bCs/>
      </w:rPr>
    </w:tblStylePr>
    <w:tblStylePr w:type="lastCol">
      <w:rPr>
        <w:b/>
        <w:bCs/>
      </w:rPr>
    </w:tblStylePr>
    <w:tblStylePr w:type="band1Vert">
      <w:tblPr/>
      <w:tcPr>
        <w:shd w:val="clear" w:color="auto" w:fill="C4CAF9" w:themeFill="accent3" w:themeFillTint="7F"/>
      </w:tcPr>
    </w:tblStylePr>
    <w:tblStylePr w:type="band1Horz">
      <w:tblPr/>
      <w:tcPr>
        <w:shd w:val="clear" w:color="auto" w:fill="C4CAF9" w:themeFill="accent3" w:themeFillTint="7F"/>
      </w:tcPr>
    </w:tblStylePr>
  </w:style>
  <w:style w:type="table" w:styleId="MediumGrid1-Accent4">
    <w:name w:val="Medium Grid 1 Accent 4"/>
    <w:basedOn w:val="TableNormal"/>
    <w:uiPriority w:val="67"/>
    <w:semiHidden/>
    <w:rsid w:val="00F238C5"/>
    <w:tblPr>
      <w:tblStyleRowBandSize w:val="1"/>
      <w:tblStyleColBandSize w:val="1"/>
      <w:tblBorders>
        <w:top w:val="single" w:color="EFBAEF" w:themeColor="accent4" w:themeTint="BF" w:sz="8" w:space="0"/>
        <w:left w:val="single" w:color="EFBAEF" w:themeColor="accent4" w:themeTint="BF" w:sz="8" w:space="0"/>
        <w:bottom w:val="single" w:color="EFBAEF" w:themeColor="accent4" w:themeTint="BF" w:sz="8" w:space="0"/>
        <w:right w:val="single" w:color="EFBAEF" w:themeColor="accent4" w:themeTint="BF" w:sz="8" w:space="0"/>
        <w:insideH w:val="single" w:color="EFBAEF" w:themeColor="accent4" w:themeTint="BF" w:sz="8" w:space="0"/>
        <w:insideV w:val="single" w:color="EFBAEF" w:themeColor="accent4" w:themeTint="BF" w:sz="8" w:space="0"/>
      </w:tblBorders>
    </w:tblPr>
    <w:tcPr>
      <w:shd w:val="clear" w:color="auto" w:fill="F9E8F9" w:themeFill="accent4" w:themeFillTint="3F"/>
    </w:tcPr>
    <w:tblStylePr w:type="firstRow">
      <w:rPr>
        <w:b/>
        <w:bCs/>
      </w:rPr>
    </w:tblStylePr>
    <w:tblStylePr w:type="lastRow">
      <w:rPr>
        <w:b/>
        <w:bCs/>
      </w:rPr>
      <w:tblPr/>
      <w:tcPr>
        <w:tcBorders>
          <w:top w:val="single" w:color="EFBAEF" w:themeColor="accent4" w:themeTint="BF" w:sz="18" w:space="0"/>
        </w:tcBorders>
      </w:tcPr>
    </w:tblStylePr>
    <w:tblStylePr w:type="firstCol">
      <w:rPr>
        <w:b/>
        <w:bCs/>
      </w:rPr>
    </w:tblStylePr>
    <w:tblStylePr w:type="lastCol">
      <w:rPr>
        <w:b/>
        <w:bCs/>
      </w:rPr>
    </w:tblStylePr>
    <w:tblStylePr w:type="band1Vert">
      <w:tblPr/>
      <w:tcPr>
        <w:shd w:val="clear" w:color="auto" w:fill="F4D1F4" w:themeFill="accent4" w:themeFillTint="7F"/>
      </w:tcPr>
    </w:tblStylePr>
    <w:tblStylePr w:type="band1Horz">
      <w:tblPr/>
      <w:tcPr>
        <w:shd w:val="clear" w:color="auto" w:fill="F4D1F4" w:themeFill="accent4" w:themeFillTint="7F"/>
      </w:tcPr>
    </w:tblStylePr>
  </w:style>
  <w:style w:type="table" w:styleId="MediumGrid1-Accent5">
    <w:name w:val="Medium Grid 1 Accent 5"/>
    <w:basedOn w:val="TableNormal"/>
    <w:uiPriority w:val="67"/>
    <w:semiHidden/>
    <w:rsid w:val="00F238C5"/>
    <w:tblPr>
      <w:tblStyleRowBandSize w:val="1"/>
      <w:tblStyleColBandSize w:val="1"/>
      <w:tblBorders>
        <w:top w:val="single" w:color="FDB0B4" w:themeColor="accent5" w:themeTint="BF" w:sz="8" w:space="0"/>
        <w:left w:val="single" w:color="FDB0B4" w:themeColor="accent5" w:themeTint="BF" w:sz="8" w:space="0"/>
        <w:bottom w:val="single" w:color="FDB0B4" w:themeColor="accent5" w:themeTint="BF" w:sz="8" w:space="0"/>
        <w:right w:val="single" w:color="FDB0B4" w:themeColor="accent5" w:themeTint="BF" w:sz="8" w:space="0"/>
        <w:insideH w:val="single" w:color="FDB0B4" w:themeColor="accent5" w:themeTint="BF" w:sz="8" w:space="0"/>
        <w:insideV w:val="single" w:color="FDB0B4" w:themeColor="accent5" w:themeTint="BF" w:sz="8" w:space="0"/>
      </w:tblBorders>
    </w:tblPr>
    <w:tcPr>
      <w:shd w:val="clear" w:color="auto" w:fill="FEE4E6" w:themeFill="accent5" w:themeFillTint="3F"/>
    </w:tcPr>
    <w:tblStylePr w:type="firstRow">
      <w:rPr>
        <w:b/>
        <w:bCs/>
      </w:rPr>
    </w:tblStylePr>
    <w:tblStylePr w:type="lastRow">
      <w:rPr>
        <w:b/>
        <w:bCs/>
      </w:rPr>
      <w:tblPr/>
      <w:tcPr>
        <w:tcBorders>
          <w:top w:val="single" w:color="FDB0B4" w:themeColor="accent5" w:themeTint="BF" w:sz="18" w:space="0"/>
        </w:tcBorders>
      </w:tcPr>
    </w:tblStylePr>
    <w:tblStylePr w:type="firstCol">
      <w:rPr>
        <w:b/>
        <w:bCs/>
      </w:rPr>
    </w:tblStylePr>
    <w:tblStylePr w:type="lastCol">
      <w:rPr>
        <w:b/>
        <w:bCs/>
      </w:rPr>
    </w:tblStylePr>
    <w:tblStylePr w:type="band1Vert">
      <w:tblPr/>
      <w:tcPr>
        <w:shd w:val="clear" w:color="auto" w:fill="FECACD" w:themeFill="accent5" w:themeFillTint="7F"/>
      </w:tcPr>
    </w:tblStylePr>
    <w:tblStylePr w:type="band1Horz">
      <w:tblPr/>
      <w:tcPr>
        <w:shd w:val="clear" w:color="auto" w:fill="FECACD" w:themeFill="accent5" w:themeFillTint="7F"/>
      </w:tcPr>
    </w:tblStylePr>
  </w:style>
  <w:style w:type="table" w:styleId="MediumGrid1-Accent6">
    <w:name w:val="Medium Grid 1 Accent 6"/>
    <w:basedOn w:val="TableNormal"/>
    <w:uiPriority w:val="67"/>
    <w:semiHidden/>
    <w:rsid w:val="00F238C5"/>
    <w:tblPr>
      <w:tblStyleRowBandSize w:val="1"/>
      <w:tblStyleColBandSize w:val="1"/>
      <w:tblBorders>
        <w:top w:val="single" w:color="C9F3E0" w:themeColor="accent6" w:themeTint="BF" w:sz="8" w:space="0"/>
        <w:left w:val="single" w:color="C9F3E0" w:themeColor="accent6" w:themeTint="BF" w:sz="8" w:space="0"/>
        <w:bottom w:val="single" w:color="C9F3E0" w:themeColor="accent6" w:themeTint="BF" w:sz="8" w:space="0"/>
        <w:right w:val="single" w:color="C9F3E0" w:themeColor="accent6" w:themeTint="BF" w:sz="8" w:space="0"/>
        <w:insideH w:val="single" w:color="C9F3E0" w:themeColor="accent6" w:themeTint="BF" w:sz="8" w:space="0"/>
        <w:insideV w:val="single" w:color="C9F3E0" w:themeColor="accent6" w:themeTint="BF" w:sz="8" w:space="0"/>
      </w:tblBorders>
    </w:tblPr>
    <w:tcPr>
      <w:shd w:val="clear" w:color="auto" w:fill="EDFBF4" w:themeFill="accent6" w:themeFillTint="3F"/>
    </w:tcPr>
    <w:tblStylePr w:type="firstRow">
      <w:rPr>
        <w:b/>
        <w:bCs/>
      </w:rPr>
    </w:tblStylePr>
    <w:tblStylePr w:type="lastRow">
      <w:rPr>
        <w:b/>
        <w:bCs/>
      </w:rPr>
      <w:tblPr/>
      <w:tcPr>
        <w:tcBorders>
          <w:top w:val="single" w:color="C9F3E0" w:themeColor="accent6" w:themeTint="BF" w:sz="18" w:space="0"/>
        </w:tcBorders>
      </w:tcPr>
    </w:tblStylePr>
    <w:tblStylePr w:type="firstCol">
      <w:rPr>
        <w:b/>
        <w:bCs/>
      </w:rPr>
    </w:tblStylePr>
    <w:tblStylePr w:type="lastCol">
      <w:rPr>
        <w:b/>
        <w:bCs/>
      </w:rPr>
    </w:tblStylePr>
    <w:tblStylePr w:type="band1Vert">
      <w:tblPr/>
      <w:tcPr>
        <w:shd w:val="clear" w:color="auto" w:fill="DBF7EA" w:themeFill="accent6" w:themeFillTint="7F"/>
      </w:tcPr>
    </w:tblStylePr>
    <w:tblStylePr w:type="band1Horz">
      <w:tblPr/>
      <w:tcPr>
        <w:shd w:val="clear" w:color="auto" w:fill="DBF7EA" w:themeFill="accent6" w:themeFillTint="7F"/>
      </w:tcPr>
    </w:tblStylePr>
  </w:style>
  <w:style w:type="table" w:styleId="MediumGrid2">
    <w:name w:val="Medium Grid 2"/>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insideH w:val="single" w:color="303030" w:themeColor="text1" w:sz="8" w:space="0"/>
        <w:insideV w:val="single" w:color="303030" w:themeColor="text1" w:sz="8" w:space="0"/>
      </w:tblBorders>
    </w:tblPr>
    <w:tcPr>
      <w:shd w:val="clear" w:color="auto" w:fill="CBCBCB" w:themeFill="text1" w:themeFillTint="3F"/>
    </w:tcPr>
    <w:tblStylePr w:type="firstRow">
      <w:rPr>
        <w:b/>
        <w:bCs/>
        <w:color w:val="303030" w:themeColor="text1"/>
      </w:rPr>
      <w:tblPr/>
      <w:tcPr>
        <w:shd w:val="clear" w:color="auto" w:fill="EAEAEA" w:themeFill="text1"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5D5D5" w:themeFill="text1" w:themeFillTint="33"/>
      </w:tcPr>
    </w:tblStylePr>
    <w:tblStylePr w:type="band1Vert">
      <w:tblPr/>
      <w:tcPr>
        <w:shd w:val="clear" w:color="auto" w:fill="979797" w:themeFill="text1" w:themeFillTint="7F"/>
      </w:tcPr>
    </w:tblStylePr>
    <w:tblStylePr w:type="band1Horz">
      <w:tblPr/>
      <w:tcPr>
        <w:tcBorders>
          <w:insideH w:val="single" w:color="303030" w:themeColor="text1" w:sz="6" w:space="0"/>
          <w:insideV w:val="single" w:color="303030" w:themeColor="text1" w:sz="6" w:space="0"/>
        </w:tcBorders>
        <w:shd w:val="clear" w:color="auto" w:fill="979797"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insideH w:val="single" w:color="88E5BD" w:themeColor="accent1" w:sz="8" w:space="0"/>
        <w:insideV w:val="single" w:color="88E5BD" w:themeColor="accent1" w:sz="8" w:space="0"/>
      </w:tblBorders>
    </w:tblPr>
    <w:tcPr>
      <w:shd w:val="clear" w:color="auto" w:fill="E1F8EE" w:themeFill="accent1" w:themeFillTint="3F"/>
    </w:tcPr>
    <w:tblStylePr w:type="firstRow">
      <w:rPr>
        <w:b/>
        <w:bCs/>
        <w:color w:val="303030" w:themeColor="text1"/>
      </w:rPr>
      <w:tblPr/>
      <w:tcPr>
        <w:shd w:val="clear" w:color="auto" w:fill="F3FCF8" w:themeFill="accent1"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7F9F1" w:themeFill="accent1" w:themeFillTint="33"/>
      </w:tcPr>
    </w:tblStylePr>
    <w:tblStylePr w:type="band1Vert">
      <w:tblPr/>
      <w:tcPr>
        <w:shd w:val="clear" w:color="auto" w:fill="C3F2DE" w:themeFill="accent1" w:themeFillTint="7F"/>
      </w:tcPr>
    </w:tblStylePr>
    <w:tblStylePr w:type="band1Horz">
      <w:tblPr/>
      <w:tcPr>
        <w:tcBorders>
          <w:insideH w:val="single" w:color="88E5BD" w:themeColor="accent1" w:sz="6" w:space="0"/>
          <w:insideV w:val="single" w:color="88E5BD" w:themeColor="accent1" w:sz="6" w:space="0"/>
        </w:tcBorders>
        <w:shd w:val="clear" w:color="auto" w:fill="C3F2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insideH w:val="single" w:color="53C2E5" w:themeColor="accent2" w:sz="8" w:space="0"/>
        <w:insideV w:val="single" w:color="53C2E5" w:themeColor="accent2" w:sz="8" w:space="0"/>
      </w:tblBorders>
    </w:tblPr>
    <w:tcPr>
      <w:shd w:val="clear" w:color="auto" w:fill="D4EFF8" w:themeFill="accent2" w:themeFillTint="3F"/>
    </w:tcPr>
    <w:tblStylePr w:type="firstRow">
      <w:rPr>
        <w:b/>
        <w:bCs/>
        <w:color w:val="303030" w:themeColor="text1"/>
      </w:rPr>
      <w:tblPr/>
      <w:tcPr>
        <w:shd w:val="clear" w:color="auto" w:fill="EDF8FC" w:themeFill="accent2"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CF2F9" w:themeFill="accent2" w:themeFillTint="33"/>
      </w:tcPr>
    </w:tblStylePr>
    <w:tblStylePr w:type="band1Vert">
      <w:tblPr/>
      <w:tcPr>
        <w:shd w:val="clear" w:color="auto" w:fill="A9E0F2" w:themeFill="accent2" w:themeFillTint="7F"/>
      </w:tcPr>
    </w:tblStylePr>
    <w:tblStylePr w:type="band1Horz">
      <w:tblPr/>
      <w:tcPr>
        <w:tcBorders>
          <w:insideH w:val="single" w:color="53C2E5" w:themeColor="accent2" w:sz="6" w:space="0"/>
          <w:insideV w:val="single" w:color="53C2E5" w:themeColor="accent2" w:sz="6" w:space="0"/>
        </w:tcBorders>
        <w:shd w:val="clear" w:color="auto" w:fill="A9E0F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insideH w:val="single" w:color="8996F4" w:themeColor="accent3" w:sz="8" w:space="0"/>
        <w:insideV w:val="single" w:color="8996F4" w:themeColor="accent3" w:sz="8" w:space="0"/>
      </w:tblBorders>
    </w:tblPr>
    <w:tcPr>
      <w:shd w:val="clear" w:color="auto" w:fill="E1E4FC" w:themeFill="accent3" w:themeFillTint="3F"/>
    </w:tcPr>
    <w:tblStylePr w:type="firstRow">
      <w:rPr>
        <w:b/>
        <w:bCs/>
        <w:color w:val="303030" w:themeColor="text1"/>
      </w:rPr>
      <w:tblPr/>
      <w:tcPr>
        <w:shd w:val="clear" w:color="auto" w:fill="F3F4FE" w:themeFill="accent3"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7E9FC" w:themeFill="accent3" w:themeFillTint="33"/>
      </w:tcPr>
    </w:tblStylePr>
    <w:tblStylePr w:type="band1Vert">
      <w:tblPr/>
      <w:tcPr>
        <w:shd w:val="clear" w:color="auto" w:fill="C4CAF9" w:themeFill="accent3" w:themeFillTint="7F"/>
      </w:tcPr>
    </w:tblStylePr>
    <w:tblStylePr w:type="band1Horz">
      <w:tblPr/>
      <w:tcPr>
        <w:tcBorders>
          <w:insideH w:val="single" w:color="8996F4" w:themeColor="accent3" w:sz="6" w:space="0"/>
          <w:insideV w:val="single" w:color="8996F4" w:themeColor="accent3" w:sz="6" w:space="0"/>
        </w:tcBorders>
        <w:shd w:val="clear" w:color="auto" w:fill="C4CA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insideH w:val="single" w:color="EAA4EA" w:themeColor="accent4" w:sz="8" w:space="0"/>
        <w:insideV w:val="single" w:color="EAA4EA" w:themeColor="accent4" w:sz="8" w:space="0"/>
      </w:tblBorders>
    </w:tblPr>
    <w:tcPr>
      <w:shd w:val="clear" w:color="auto" w:fill="F9E8F9" w:themeFill="accent4" w:themeFillTint="3F"/>
    </w:tcPr>
    <w:tblStylePr w:type="firstRow">
      <w:rPr>
        <w:b/>
        <w:bCs/>
        <w:color w:val="303030" w:themeColor="text1"/>
      </w:rPr>
      <w:tblPr/>
      <w:tcPr>
        <w:shd w:val="clear" w:color="auto" w:fill="FDF6FD" w:themeFill="accent4"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AECFA" w:themeFill="accent4" w:themeFillTint="33"/>
      </w:tcPr>
    </w:tblStylePr>
    <w:tblStylePr w:type="band1Vert">
      <w:tblPr/>
      <w:tcPr>
        <w:shd w:val="clear" w:color="auto" w:fill="F4D1F4" w:themeFill="accent4" w:themeFillTint="7F"/>
      </w:tcPr>
    </w:tblStylePr>
    <w:tblStylePr w:type="band1Horz">
      <w:tblPr/>
      <w:tcPr>
        <w:tcBorders>
          <w:insideH w:val="single" w:color="EAA4EA" w:themeColor="accent4" w:sz="6" w:space="0"/>
          <w:insideV w:val="single" w:color="EAA4EA" w:themeColor="accent4" w:sz="6" w:space="0"/>
        </w:tcBorders>
        <w:shd w:val="clear" w:color="auto" w:fill="F4D1F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insideH w:val="single" w:color="FD969C" w:themeColor="accent5" w:sz="8" w:space="0"/>
        <w:insideV w:val="single" w:color="FD969C" w:themeColor="accent5" w:sz="8" w:space="0"/>
      </w:tblBorders>
    </w:tblPr>
    <w:tcPr>
      <w:shd w:val="clear" w:color="auto" w:fill="FEE4E6" w:themeFill="accent5" w:themeFillTint="3F"/>
    </w:tcPr>
    <w:tblStylePr w:type="firstRow">
      <w:rPr>
        <w:b/>
        <w:bCs/>
        <w:color w:val="303030" w:themeColor="text1"/>
      </w:rPr>
      <w:tblPr/>
      <w:tcPr>
        <w:shd w:val="clear" w:color="auto" w:fill="FEF4F5" w:themeFill="accent5"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EE9EA" w:themeFill="accent5" w:themeFillTint="33"/>
      </w:tcPr>
    </w:tblStylePr>
    <w:tblStylePr w:type="band1Vert">
      <w:tblPr/>
      <w:tcPr>
        <w:shd w:val="clear" w:color="auto" w:fill="FECACD" w:themeFill="accent5" w:themeFillTint="7F"/>
      </w:tcPr>
    </w:tblStylePr>
    <w:tblStylePr w:type="band1Horz">
      <w:tblPr/>
      <w:tcPr>
        <w:tcBorders>
          <w:insideH w:val="single" w:color="FD969C" w:themeColor="accent5" w:sz="6" w:space="0"/>
          <w:insideV w:val="single" w:color="FD969C" w:themeColor="accent5" w:sz="6" w:space="0"/>
        </w:tcBorders>
        <w:shd w:val="clear" w:color="auto" w:fill="FECAC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insideH w:val="single" w:color="B7EFD7" w:themeColor="accent6" w:sz="8" w:space="0"/>
        <w:insideV w:val="single" w:color="B7EFD7" w:themeColor="accent6" w:sz="8" w:space="0"/>
      </w:tblBorders>
    </w:tblPr>
    <w:tcPr>
      <w:shd w:val="clear" w:color="auto" w:fill="EDFBF4" w:themeFill="accent6" w:themeFillTint="3F"/>
    </w:tcPr>
    <w:tblStylePr w:type="firstRow">
      <w:rPr>
        <w:b/>
        <w:bCs/>
        <w:color w:val="303030" w:themeColor="text1"/>
      </w:rPr>
      <w:tblPr/>
      <w:tcPr>
        <w:shd w:val="clear" w:color="auto" w:fill="F7FDFB" w:themeFill="accent6"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0FBF6" w:themeFill="accent6" w:themeFillTint="33"/>
      </w:tcPr>
    </w:tblStylePr>
    <w:tblStylePr w:type="band1Vert">
      <w:tblPr/>
      <w:tcPr>
        <w:shd w:val="clear" w:color="auto" w:fill="DBF7EA" w:themeFill="accent6" w:themeFillTint="7F"/>
      </w:tcPr>
    </w:tblStylePr>
    <w:tblStylePr w:type="band1Horz">
      <w:tblPr/>
      <w:tcPr>
        <w:tcBorders>
          <w:insideH w:val="single" w:color="B7EFD7" w:themeColor="accent6" w:sz="6" w:space="0"/>
          <w:insideV w:val="single" w:color="B7EFD7" w:themeColor="accent6" w:sz="6" w:space="0"/>
        </w:tcBorders>
        <w:shd w:val="clear" w:color="auto" w:fill="DBF7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BCBCB"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0303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0303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0303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0303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79797"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79797" w:themeFill="text1" w:themeFillTint="7F"/>
      </w:tcPr>
    </w:tblStylePr>
  </w:style>
  <w:style w:type="table" w:styleId="MediumGrid3-Accent1">
    <w:name w:val="Medium Grid 3 Accent 1"/>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1F8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8E5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8E5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8E5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8E5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3F2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3F2DE" w:themeFill="accent1" w:themeFillTint="7F"/>
      </w:tcPr>
    </w:tblStylePr>
  </w:style>
  <w:style w:type="table" w:styleId="MediumGrid3-Accent2">
    <w:name w:val="Medium Grid 3 Accent 2"/>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4EFF8"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3C2E5"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3C2E5"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3C2E5"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3C2E5"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9E0F2"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9E0F2" w:themeFill="accent2" w:themeFillTint="7F"/>
      </w:tcPr>
    </w:tblStylePr>
  </w:style>
  <w:style w:type="table" w:styleId="MediumGrid3-Accent3">
    <w:name w:val="Medium Grid 3 Accent 3"/>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1E4FC"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996F4"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996F4"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996F4"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996F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4CAF9"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4CAF9" w:themeFill="accent3" w:themeFillTint="7F"/>
      </w:tcPr>
    </w:tblStylePr>
  </w:style>
  <w:style w:type="table" w:styleId="MediumGrid3-Accent4">
    <w:name w:val="Medium Grid 3 Accent 4"/>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9E8F9"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AA4E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AA4E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AA4E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AA4E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4D1F4"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4D1F4" w:themeFill="accent4" w:themeFillTint="7F"/>
      </w:tcPr>
    </w:tblStylePr>
  </w:style>
  <w:style w:type="table" w:styleId="MediumGrid3-Accent5">
    <w:name w:val="Medium Grid 3 Accent 5"/>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E4E6"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D969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D969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D969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D969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ECACD"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ECACD" w:themeFill="accent5" w:themeFillTint="7F"/>
      </w:tcPr>
    </w:tblStylePr>
  </w:style>
  <w:style w:type="table" w:styleId="MediumGrid3-Accent6">
    <w:name w:val="Medium Grid 3 Accent 6"/>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FBF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7EFD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7EFD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7EFD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7EFD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F7E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F7EA" w:themeFill="accent6" w:themeFillTint="7F"/>
      </w:tcPr>
    </w:tblStylePr>
  </w:style>
  <w:style w:type="table" w:styleId="MediumList1">
    <w:name w:val="Medium List 1"/>
    <w:basedOn w:val="TableNormal"/>
    <w:uiPriority w:val="65"/>
    <w:semiHidden/>
    <w:rsid w:val="00F238C5"/>
    <w:rPr>
      <w:color w:val="303030" w:themeColor="text1"/>
    </w:rPr>
    <w:tblPr>
      <w:tblStyleRowBandSize w:val="1"/>
      <w:tblStyleColBandSize w:val="1"/>
      <w:tblBorders>
        <w:top w:val="single" w:color="303030" w:themeColor="text1" w:sz="8" w:space="0"/>
        <w:bottom w:val="single" w:color="303030" w:themeColor="text1" w:sz="8" w:space="0"/>
      </w:tblBorders>
    </w:tblPr>
    <w:tblStylePr w:type="firstRow">
      <w:rPr>
        <w:rFonts w:asciiTheme="majorHAnsi" w:hAnsiTheme="majorHAnsi" w:eastAsiaTheme="majorEastAsia" w:cstheme="majorBidi"/>
      </w:rPr>
      <w:tblPr/>
      <w:tcPr>
        <w:tcBorders>
          <w:top w:val="nil"/>
          <w:bottom w:val="single" w:color="303030" w:themeColor="text1" w:sz="8" w:space="0"/>
        </w:tcBorders>
      </w:tcPr>
    </w:tblStylePr>
    <w:tblStylePr w:type="lastRow">
      <w:rPr>
        <w:b/>
        <w:bCs/>
        <w:color w:val="FC515B" w:themeColor="text2"/>
      </w:rPr>
      <w:tblPr/>
      <w:tcPr>
        <w:tcBorders>
          <w:top w:val="single" w:color="303030" w:themeColor="text1" w:sz="8" w:space="0"/>
          <w:bottom w:val="single" w:color="303030" w:themeColor="text1" w:sz="8" w:space="0"/>
        </w:tcBorders>
      </w:tcPr>
    </w:tblStylePr>
    <w:tblStylePr w:type="firstCol">
      <w:rPr>
        <w:b/>
        <w:bCs/>
      </w:rPr>
    </w:tblStylePr>
    <w:tblStylePr w:type="lastCol">
      <w:rPr>
        <w:b/>
        <w:bCs/>
      </w:rPr>
      <w:tblPr/>
      <w:tcPr>
        <w:tcBorders>
          <w:top w:val="single" w:color="303030" w:themeColor="text1" w:sz="8" w:space="0"/>
          <w:bottom w:val="single" w:color="303030" w:themeColor="text1" w:sz="8" w:space="0"/>
        </w:tcBorders>
      </w:tcPr>
    </w:tblStylePr>
    <w:tblStylePr w:type="band1Vert">
      <w:tblPr/>
      <w:tcPr>
        <w:shd w:val="clear" w:color="auto" w:fill="CBCBCB" w:themeFill="text1" w:themeFillTint="3F"/>
      </w:tcPr>
    </w:tblStylePr>
    <w:tblStylePr w:type="band1Horz">
      <w:tblPr/>
      <w:tcPr>
        <w:shd w:val="clear" w:color="auto" w:fill="CBCBCB" w:themeFill="text1" w:themeFillTint="3F"/>
      </w:tcPr>
    </w:tblStylePr>
  </w:style>
  <w:style w:type="table" w:styleId="MediumList1-Accent1">
    <w:name w:val="Medium List 1 Accent 1"/>
    <w:basedOn w:val="TableNormal"/>
    <w:uiPriority w:val="65"/>
    <w:semiHidden/>
    <w:rsid w:val="00F238C5"/>
    <w:rPr>
      <w:color w:val="303030" w:themeColor="text1"/>
    </w:rPr>
    <w:tblPr>
      <w:tblStyleRowBandSize w:val="1"/>
      <w:tblStyleColBandSize w:val="1"/>
      <w:tblBorders>
        <w:top w:val="single" w:color="88E5BD" w:themeColor="accent1" w:sz="8" w:space="0"/>
        <w:bottom w:val="single" w:color="88E5BD" w:themeColor="accent1" w:sz="8" w:space="0"/>
      </w:tblBorders>
    </w:tblPr>
    <w:tblStylePr w:type="firstRow">
      <w:rPr>
        <w:rFonts w:asciiTheme="majorHAnsi" w:hAnsiTheme="majorHAnsi" w:eastAsiaTheme="majorEastAsia" w:cstheme="majorBidi"/>
      </w:rPr>
      <w:tblPr/>
      <w:tcPr>
        <w:tcBorders>
          <w:top w:val="nil"/>
          <w:bottom w:val="single" w:color="88E5BD" w:themeColor="accent1" w:sz="8" w:space="0"/>
        </w:tcBorders>
      </w:tcPr>
    </w:tblStylePr>
    <w:tblStylePr w:type="lastRow">
      <w:rPr>
        <w:b/>
        <w:bCs/>
        <w:color w:val="FC515B" w:themeColor="text2"/>
      </w:rPr>
      <w:tblPr/>
      <w:tcPr>
        <w:tcBorders>
          <w:top w:val="single" w:color="88E5BD" w:themeColor="accent1" w:sz="8" w:space="0"/>
          <w:bottom w:val="single" w:color="88E5BD" w:themeColor="accent1" w:sz="8" w:space="0"/>
        </w:tcBorders>
      </w:tcPr>
    </w:tblStylePr>
    <w:tblStylePr w:type="firstCol">
      <w:rPr>
        <w:b/>
        <w:bCs/>
      </w:rPr>
    </w:tblStylePr>
    <w:tblStylePr w:type="lastCol">
      <w:rPr>
        <w:b/>
        <w:bCs/>
      </w:rPr>
      <w:tblPr/>
      <w:tcPr>
        <w:tcBorders>
          <w:top w:val="single" w:color="88E5BD" w:themeColor="accent1" w:sz="8" w:space="0"/>
          <w:bottom w:val="single" w:color="88E5BD" w:themeColor="accent1" w:sz="8" w:space="0"/>
        </w:tcBorders>
      </w:tcPr>
    </w:tblStylePr>
    <w:tblStylePr w:type="band1Vert">
      <w:tblPr/>
      <w:tcPr>
        <w:shd w:val="clear" w:color="auto" w:fill="E1F8EE" w:themeFill="accent1" w:themeFillTint="3F"/>
      </w:tcPr>
    </w:tblStylePr>
    <w:tblStylePr w:type="band1Horz">
      <w:tblPr/>
      <w:tcPr>
        <w:shd w:val="clear" w:color="auto" w:fill="E1F8EE" w:themeFill="accent1" w:themeFillTint="3F"/>
      </w:tcPr>
    </w:tblStylePr>
  </w:style>
  <w:style w:type="table" w:styleId="MediumList1-Accent2">
    <w:name w:val="Medium List 1 Accent 2"/>
    <w:basedOn w:val="TableNormal"/>
    <w:uiPriority w:val="65"/>
    <w:semiHidden/>
    <w:rsid w:val="00F238C5"/>
    <w:rPr>
      <w:color w:val="303030" w:themeColor="text1"/>
    </w:rPr>
    <w:tblPr>
      <w:tblStyleRowBandSize w:val="1"/>
      <w:tblStyleColBandSize w:val="1"/>
      <w:tblBorders>
        <w:top w:val="single" w:color="53C2E5" w:themeColor="accent2" w:sz="8" w:space="0"/>
        <w:bottom w:val="single" w:color="53C2E5" w:themeColor="accent2" w:sz="8" w:space="0"/>
      </w:tblBorders>
    </w:tblPr>
    <w:tblStylePr w:type="firstRow">
      <w:rPr>
        <w:rFonts w:asciiTheme="majorHAnsi" w:hAnsiTheme="majorHAnsi" w:eastAsiaTheme="majorEastAsia" w:cstheme="majorBidi"/>
      </w:rPr>
      <w:tblPr/>
      <w:tcPr>
        <w:tcBorders>
          <w:top w:val="nil"/>
          <w:bottom w:val="single" w:color="53C2E5" w:themeColor="accent2" w:sz="8" w:space="0"/>
        </w:tcBorders>
      </w:tcPr>
    </w:tblStylePr>
    <w:tblStylePr w:type="lastRow">
      <w:rPr>
        <w:b/>
        <w:bCs/>
        <w:color w:val="FC515B" w:themeColor="text2"/>
      </w:rPr>
      <w:tblPr/>
      <w:tcPr>
        <w:tcBorders>
          <w:top w:val="single" w:color="53C2E5" w:themeColor="accent2" w:sz="8" w:space="0"/>
          <w:bottom w:val="single" w:color="53C2E5" w:themeColor="accent2" w:sz="8" w:space="0"/>
        </w:tcBorders>
      </w:tcPr>
    </w:tblStylePr>
    <w:tblStylePr w:type="firstCol">
      <w:rPr>
        <w:b/>
        <w:bCs/>
      </w:rPr>
    </w:tblStylePr>
    <w:tblStylePr w:type="lastCol">
      <w:rPr>
        <w:b/>
        <w:bCs/>
      </w:rPr>
      <w:tblPr/>
      <w:tcPr>
        <w:tcBorders>
          <w:top w:val="single" w:color="53C2E5" w:themeColor="accent2" w:sz="8" w:space="0"/>
          <w:bottom w:val="single" w:color="53C2E5" w:themeColor="accent2" w:sz="8" w:space="0"/>
        </w:tcBorders>
      </w:tcPr>
    </w:tblStylePr>
    <w:tblStylePr w:type="band1Vert">
      <w:tblPr/>
      <w:tcPr>
        <w:shd w:val="clear" w:color="auto" w:fill="D4EFF8" w:themeFill="accent2" w:themeFillTint="3F"/>
      </w:tcPr>
    </w:tblStylePr>
    <w:tblStylePr w:type="band1Horz">
      <w:tblPr/>
      <w:tcPr>
        <w:shd w:val="clear" w:color="auto" w:fill="D4EFF8" w:themeFill="accent2" w:themeFillTint="3F"/>
      </w:tcPr>
    </w:tblStylePr>
  </w:style>
  <w:style w:type="table" w:styleId="MediumList1-Accent3">
    <w:name w:val="Medium List 1 Accent 3"/>
    <w:basedOn w:val="TableNormal"/>
    <w:uiPriority w:val="65"/>
    <w:semiHidden/>
    <w:rsid w:val="00F238C5"/>
    <w:rPr>
      <w:color w:val="303030" w:themeColor="text1"/>
    </w:rPr>
    <w:tblPr>
      <w:tblStyleRowBandSize w:val="1"/>
      <w:tblStyleColBandSize w:val="1"/>
      <w:tblBorders>
        <w:top w:val="single" w:color="8996F4" w:themeColor="accent3" w:sz="8" w:space="0"/>
        <w:bottom w:val="single" w:color="8996F4" w:themeColor="accent3" w:sz="8" w:space="0"/>
      </w:tblBorders>
    </w:tblPr>
    <w:tblStylePr w:type="firstRow">
      <w:rPr>
        <w:rFonts w:asciiTheme="majorHAnsi" w:hAnsiTheme="majorHAnsi" w:eastAsiaTheme="majorEastAsia" w:cstheme="majorBidi"/>
      </w:rPr>
      <w:tblPr/>
      <w:tcPr>
        <w:tcBorders>
          <w:top w:val="nil"/>
          <w:bottom w:val="single" w:color="8996F4" w:themeColor="accent3" w:sz="8" w:space="0"/>
        </w:tcBorders>
      </w:tcPr>
    </w:tblStylePr>
    <w:tblStylePr w:type="lastRow">
      <w:rPr>
        <w:b/>
        <w:bCs/>
        <w:color w:val="FC515B" w:themeColor="text2"/>
      </w:rPr>
      <w:tblPr/>
      <w:tcPr>
        <w:tcBorders>
          <w:top w:val="single" w:color="8996F4" w:themeColor="accent3" w:sz="8" w:space="0"/>
          <w:bottom w:val="single" w:color="8996F4" w:themeColor="accent3" w:sz="8" w:space="0"/>
        </w:tcBorders>
      </w:tcPr>
    </w:tblStylePr>
    <w:tblStylePr w:type="firstCol">
      <w:rPr>
        <w:b/>
        <w:bCs/>
      </w:rPr>
    </w:tblStylePr>
    <w:tblStylePr w:type="lastCol">
      <w:rPr>
        <w:b/>
        <w:bCs/>
      </w:rPr>
      <w:tblPr/>
      <w:tcPr>
        <w:tcBorders>
          <w:top w:val="single" w:color="8996F4" w:themeColor="accent3" w:sz="8" w:space="0"/>
          <w:bottom w:val="single" w:color="8996F4" w:themeColor="accent3" w:sz="8" w:space="0"/>
        </w:tcBorders>
      </w:tcPr>
    </w:tblStylePr>
    <w:tblStylePr w:type="band1Vert">
      <w:tblPr/>
      <w:tcPr>
        <w:shd w:val="clear" w:color="auto" w:fill="E1E4FC" w:themeFill="accent3" w:themeFillTint="3F"/>
      </w:tcPr>
    </w:tblStylePr>
    <w:tblStylePr w:type="band1Horz">
      <w:tblPr/>
      <w:tcPr>
        <w:shd w:val="clear" w:color="auto" w:fill="E1E4FC" w:themeFill="accent3" w:themeFillTint="3F"/>
      </w:tcPr>
    </w:tblStylePr>
  </w:style>
  <w:style w:type="table" w:styleId="MediumList1-Accent4">
    <w:name w:val="Medium List 1 Accent 4"/>
    <w:basedOn w:val="TableNormal"/>
    <w:uiPriority w:val="65"/>
    <w:semiHidden/>
    <w:rsid w:val="00F238C5"/>
    <w:rPr>
      <w:color w:val="303030" w:themeColor="text1"/>
    </w:rPr>
    <w:tblPr>
      <w:tblStyleRowBandSize w:val="1"/>
      <w:tblStyleColBandSize w:val="1"/>
      <w:tblBorders>
        <w:top w:val="single" w:color="EAA4EA" w:themeColor="accent4" w:sz="8" w:space="0"/>
        <w:bottom w:val="single" w:color="EAA4EA" w:themeColor="accent4" w:sz="8" w:space="0"/>
      </w:tblBorders>
    </w:tblPr>
    <w:tblStylePr w:type="firstRow">
      <w:rPr>
        <w:rFonts w:asciiTheme="majorHAnsi" w:hAnsiTheme="majorHAnsi" w:eastAsiaTheme="majorEastAsia" w:cstheme="majorBidi"/>
      </w:rPr>
      <w:tblPr/>
      <w:tcPr>
        <w:tcBorders>
          <w:top w:val="nil"/>
          <w:bottom w:val="single" w:color="EAA4EA" w:themeColor="accent4" w:sz="8" w:space="0"/>
        </w:tcBorders>
      </w:tcPr>
    </w:tblStylePr>
    <w:tblStylePr w:type="lastRow">
      <w:rPr>
        <w:b/>
        <w:bCs/>
        <w:color w:val="FC515B" w:themeColor="text2"/>
      </w:rPr>
      <w:tblPr/>
      <w:tcPr>
        <w:tcBorders>
          <w:top w:val="single" w:color="EAA4EA" w:themeColor="accent4" w:sz="8" w:space="0"/>
          <w:bottom w:val="single" w:color="EAA4EA" w:themeColor="accent4" w:sz="8" w:space="0"/>
        </w:tcBorders>
      </w:tcPr>
    </w:tblStylePr>
    <w:tblStylePr w:type="firstCol">
      <w:rPr>
        <w:b/>
        <w:bCs/>
      </w:rPr>
    </w:tblStylePr>
    <w:tblStylePr w:type="lastCol">
      <w:rPr>
        <w:b/>
        <w:bCs/>
      </w:rPr>
      <w:tblPr/>
      <w:tcPr>
        <w:tcBorders>
          <w:top w:val="single" w:color="EAA4EA" w:themeColor="accent4" w:sz="8" w:space="0"/>
          <w:bottom w:val="single" w:color="EAA4EA" w:themeColor="accent4" w:sz="8" w:space="0"/>
        </w:tcBorders>
      </w:tcPr>
    </w:tblStylePr>
    <w:tblStylePr w:type="band1Vert">
      <w:tblPr/>
      <w:tcPr>
        <w:shd w:val="clear" w:color="auto" w:fill="F9E8F9" w:themeFill="accent4" w:themeFillTint="3F"/>
      </w:tcPr>
    </w:tblStylePr>
    <w:tblStylePr w:type="band1Horz">
      <w:tblPr/>
      <w:tcPr>
        <w:shd w:val="clear" w:color="auto" w:fill="F9E8F9" w:themeFill="accent4" w:themeFillTint="3F"/>
      </w:tcPr>
    </w:tblStylePr>
  </w:style>
  <w:style w:type="table" w:styleId="MediumList1-Accent5">
    <w:name w:val="Medium List 1 Accent 5"/>
    <w:basedOn w:val="TableNormal"/>
    <w:uiPriority w:val="65"/>
    <w:semiHidden/>
    <w:rsid w:val="00F238C5"/>
    <w:rPr>
      <w:color w:val="303030" w:themeColor="text1"/>
    </w:rPr>
    <w:tblPr>
      <w:tblStyleRowBandSize w:val="1"/>
      <w:tblStyleColBandSize w:val="1"/>
      <w:tblBorders>
        <w:top w:val="single" w:color="FD969C" w:themeColor="accent5" w:sz="8" w:space="0"/>
        <w:bottom w:val="single" w:color="FD969C" w:themeColor="accent5" w:sz="8" w:space="0"/>
      </w:tblBorders>
    </w:tblPr>
    <w:tblStylePr w:type="firstRow">
      <w:rPr>
        <w:rFonts w:asciiTheme="majorHAnsi" w:hAnsiTheme="majorHAnsi" w:eastAsiaTheme="majorEastAsia" w:cstheme="majorBidi"/>
      </w:rPr>
      <w:tblPr/>
      <w:tcPr>
        <w:tcBorders>
          <w:top w:val="nil"/>
          <w:bottom w:val="single" w:color="FD969C" w:themeColor="accent5" w:sz="8" w:space="0"/>
        </w:tcBorders>
      </w:tcPr>
    </w:tblStylePr>
    <w:tblStylePr w:type="lastRow">
      <w:rPr>
        <w:b/>
        <w:bCs/>
        <w:color w:val="FC515B" w:themeColor="text2"/>
      </w:rPr>
      <w:tblPr/>
      <w:tcPr>
        <w:tcBorders>
          <w:top w:val="single" w:color="FD969C" w:themeColor="accent5" w:sz="8" w:space="0"/>
          <w:bottom w:val="single" w:color="FD969C" w:themeColor="accent5" w:sz="8" w:space="0"/>
        </w:tcBorders>
      </w:tcPr>
    </w:tblStylePr>
    <w:tblStylePr w:type="firstCol">
      <w:rPr>
        <w:b/>
        <w:bCs/>
      </w:rPr>
    </w:tblStylePr>
    <w:tblStylePr w:type="lastCol">
      <w:rPr>
        <w:b/>
        <w:bCs/>
      </w:rPr>
      <w:tblPr/>
      <w:tcPr>
        <w:tcBorders>
          <w:top w:val="single" w:color="FD969C" w:themeColor="accent5" w:sz="8" w:space="0"/>
          <w:bottom w:val="single" w:color="FD969C" w:themeColor="accent5" w:sz="8" w:space="0"/>
        </w:tcBorders>
      </w:tcPr>
    </w:tblStylePr>
    <w:tblStylePr w:type="band1Vert">
      <w:tblPr/>
      <w:tcPr>
        <w:shd w:val="clear" w:color="auto" w:fill="FEE4E6" w:themeFill="accent5" w:themeFillTint="3F"/>
      </w:tcPr>
    </w:tblStylePr>
    <w:tblStylePr w:type="band1Horz">
      <w:tblPr/>
      <w:tcPr>
        <w:shd w:val="clear" w:color="auto" w:fill="FEE4E6" w:themeFill="accent5" w:themeFillTint="3F"/>
      </w:tcPr>
    </w:tblStylePr>
  </w:style>
  <w:style w:type="table" w:styleId="MediumList1-Accent6">
    <w:name w:val="Medium List 1 Accent 6"/>
    <w:basedOn w:val="TableNormal"/>
    <w:uiPriority w:val="65"/>
    <w:semiHidden/>
    <w:rsid w:val="00F238C5"/>
    <w:rPr>
      <w:color w:val="303030" w:themeColor="text1"/>
    </w:rPr>
    <w:tblPr>
      <w:tblStyleRowBandSize w:val="1"/>
      <w:tblStyleColBandSize w:val="1"/>
      <w:tblBorders>
        <w:top w:val="single" w:color="B7EFD7" w:themeColor="accent6" w:sz="8" w:space="0"/>
        <w:bottom w:val="single" w:color="B7EFD7" w:themeColor="accent6" w:sz="8" w:space="0"/>
      </w:tblBorders>
    </w:tblPr>
    <w:tblStylePr w:type="firstRow">
      <w:rPr>
        <w:rFonts w:asciiTheme="majorHAnsi" w:hAnsiTheme="majorHAnsi" w:eastAsiaTheme="majorEastAsia" w:cstheme="majorBidi"/>
      </w:rPr>
      <w:tblPr/>
      <w:tcPr>
        <w:tcBorders>
          <w:top w:val="nil"/>
          <w:bottom w:val="single" w:color="B7EFD7" w:themeColor="accent6" w:sz="8" w:space="0"/>
        </w:tcBorders>
      </w:tcPr>
    </w:tblStylePr>
    <w:tblStylePr w:type="lastRow">
      <w:rPr>
        <w:b/>
        <w:bCs/>
        <w:color w:val="FC515B" w:themeColor="text2"/>
      </w:rPr>
      <w:tblPr/>
      <w:tcPr>
        <w:tcBorders>
          <w:top w:val="single" w:color="B7EFD7" w:themeColor="accent6" w:sz="8" w:space="0"/>
          <w:bottom w:val="single" w:color="B7EFD7" w:themeColor="accent6" w:sz="8" w:space="0"/>
        </w:tcBorders>
      </w:tcPr>
    </w:tblStylePr>
    <w:tblStylePr w:type="firstCol">
      <w:rPr>
        <w:b/>
        <w:bCs/>
      </w:rPr>
    </w:tblStylePr>
    <w:tblStylePr w:type="lastCol">
      <w:rPr>
        <w:b/>
        <w:bCs/>
      </w:rPr>
      <w:tblPr/>
      <w:tcPr>
        <w:tcBorders>
          <w:top w:val="single" w:color="B7EFD7" w:themeColor="accent6" w:sz="8" w:space="0"/>
          <w:bottom w:val="single" w:color="B7EFD7" w:themeColor="accent6" w:sz="8" w:space="0"/>
        </w:tcBorders>
      </w:tcPr>
    </w:tblStylePr>
    <w:tblStylePr w:type="band1Vert">
      <w:tblPr/>
      <w:tcPr>
        <w:shd w:val="clear" w:color="auto" w:fill="EDFBF4" w:themeFill="accent6" w:themeFillTint="3F"/>
      </w:tcPr>
    </w:tblStylePr>
    <w:tblStylePr w:type="band1Horz">
      <w:tblPr/>
      <w:tcPr>
        <w:shd w:val="clear" w:color="auto" w:fill="EDFBF4" w:themeFill="accent6" w:themeFillTint="3F"/>
      </w:tcPr>
    </w:tblStylePr>
  </w:style>
  <w:style w:type="table" w:styleId="MediumList2">
    <w:name w:val="Medium List 2"/>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tblBorders>
    </w:tblPr>
    <w:tblStylePr w:type="firstRow">
      <w:rPr>
        <w:sz w:val="24"/>
        <w:szCs w:val="24"/>
      </w:rPr>
      <w:tblPr/>
      <w:tcPr>
        <w:tcBorders>
          <w:top w:val="nil"/>
          <w:left w:val="nil"/>
          <w:bottom w:val="single" w:color="303030" w:themeColor="text1" w:sz="24" w:space="0"/>
          <w:right w:val="nil"/>
          <w:insideH w:val="nil"/>
          <w:insideV w:val="nil"/>
        </w:tcBorders>
        <w:shd w:val="clear" w:color="auto" w:fill="FFFFFF" w:themeFill="background1"/>
      </w:tcPr>
    </w:tblStylePr>
    <w:tblStylePr w:type="lastRow">
      <w:tblPr/>
      <w:tcPr>
        <w:tcBorders>
          <w:top w:val="single" w:color="30303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03030" w:themeColor="text1" w:sz="8" w:space="0"/>
          <w:insideH w:val="nil"/>
          <w:insideV w:val="nil"/>
        </w:tcBorders>
        <w:shd w:val="clear" w:color="auto" w:fill="FFFFFF" w:themeFill="background1"/>
      </w:tcPr>
    </w:tblStylePr>
    <w:tblStylePr w:type="lastCol">
      <w:tblPr/>
      <w:tcPr>
        <w:tcBorders>
          <w:top w:val="nil"/>
          <w:left w:val="single" w:color="30303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top w:val="nil"/>
          <w:bottom w:val="nil"/>
          <w:insideH w:val="nil"/>
          <w:insideV w:val="nil"/>
        </w:tcBorders>
        <w:shd w:val="clear" w:color="auto" w:fill="CBCBC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tblBorders>
    </w:tblPr>
    <w:tblStylePr w:type="firstRow">
      <w:rPr>
        <w:sz w:val="24"/>
        <w:szCs w:val="24"/>
      </w:rPr>
      <w:tblPr/>
      <w:tcPr>
        <w:tcBorders>
          <w:top w:val="nil"/>
          <w:left w:val="nil"/>
          <w:bottom w:val="single" w:color="88E5BD" w:themeColor="accent1" w:sz="24" w:space="0"/>
          <w:right w:val="nil"/>
          <w:insideH w:val="nil"/>
          <w:insideV w:val="nil"/>
        </w:tcBorders>
        <w:shd w:val="clear" w:color="auto" w:fill="FFFFFF" w:themeFill="background1"/>
      </w:tcPr>
    </w:tblStylePr>
    <w:tblStylePr w:type="lastRow">
      <w:tblPr/>
      <w:tcPr>
        <w:tcBorders>
          <w:top w:val="single" w:color="88E5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8E5BD" w:themeColor="accent1" w:sz="8" w:space="0"/>
          <w:insideH w:val="nil"/>
          <w:insideV w:val="nil"/>
        </w:tcBorders>
        <w:shd w:val="clear" w:color="auto" w:fill="FFFFFF" w:themeFill="background1"/>
      </w:tcPr>
    </w:tblStylePr>
    <w:tblStylePr w:type="lastCol">
      <w:tblPr/>
      <w:tcPr>
        <w:tcBorders>
          <w:top w:val="nil"/>
          <w:left w:val="single" w:color="88E5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8EE" w:themeFill="accent1" w:themeFillTint="3F"/>
      </w:tcPr>
    </w:tblStylePr>
    <w:tblStylePr w:type="band1Horz">
      <w:tblPr/>
      <w:tcPr>
        <w:tcBorders>
          <w:top w:val="nil"/>
          <w:bottom w:val="nil"/>
          <w:insideH w:val="nil"/>
          <w:insideV w:val="nil"/>
        </w:tcBorders>
        <w:shd w:val="clear" w:color="auto" w:fill="E1F8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tblBorders>
    </w:tblPr>
    <w:tblStylePr w:type="firstRow">
      <w:rPr>
        <w:sz w:val="24"/>
        <w:szCs w:val="24"/>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tblPr/>
      <w:tcPr>
        <w:tcBorders>
          <w:top w:val="single" w:color="53C2E5"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3C2E5" w:themeColor="accent2" w:sz="8" w:space="0"/>
          <w:insideH w:val="nil"/>
          <w:insideV w:val="nil"/>
        </w:tcBorders>
        <w:shd w:val="clear" w:color="auto" w:fill="FFFFFF" w:themeFill="background1"/>
      </w:tcPr>
    </w:tblStylePr>
    <w:tblStylePr w:type="lastCol">
      <w:tblPr/>
      <w:tcPr>
        <w:tcBorders>
          <w:top w:val="nil"/>
          <w:left w:val="single" w:color="53C2E5"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FF8" w:themeFill="accent2" w:themeFillTint="3F"/>
      </w:tcPr>
    </w:tblStylePr>
    <w:tblStylePr w:type="band1Horz">
      <w:tblPr/>
      <w:tcPr>
        <w:tcBorders>
          <w:top w:val="nil"/>
          <w:bottom w:val="nil"/>
          <w:insideH w:val="nil"/>
          <w:insideV w:val="nil"/>
        </w:tcBorders>
        <w:shd w:val="clear" w:color="auto" w:fill="D4EF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tblBorders>
    </w:tblPr>
    <w:tblStylePr w:type="firstRow">
      <w:rPr>
        <w:sz w:val="24"/>
        <w:szCs w:val="24"/>
      </w:rPr>
      <w:tblPr/>
      <w:tcPr>
        <w:tcBorders>
          <w:top w:val="nil"/>
          <w:left w:val="nil"/>
          <w:bottom w:val="single" w:color="8996F4" w:themeColor="accent3" w:sz="24" w:space="0"/>
          <w:right w:val="nil"/>
          <w:insideH w:val="nil"/>
          <w:insideV w:val="nil"/>
        </w:tcBorders>
        <w:shd w:val="clear" w:color="auto" w:fill="FFFFFF" w:themeFill="background1"/>
      </w:tcPr>
    </w:tblStylePr>
    <w:tblStylePr w:type="lastRow">
      <w:tblPr/>
      <w:tcPr>
        <w:tcBorders>
          <w:top w:val="single" w:color="8996F4"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996F4" w:themeColor="accent3" w:sz="8" w:space="0"/>
          <w:insideH w:val="nil"/>
          <w:insideV w:val="nil"/>
        </w:tcBorders>
        <w:shd w:val="clear" w:color="auto" w:fill="FFFFFF" w:themeFill="background1"/>
      </w:tcPr>
    </w:tblStylePr>
    <w:tblStylePr w:type="lastCol">
      <w:tblPr/>
      <w:tcPr>
        <w:tcBorders>
          <w:top w:val="nil"/>
          <w:left w:val="single" w:color="8996F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4FC" w:themeFill="accent3" w:themeFillTint="3F"/>
      </w:tcPr>
    </w:tblStylePr>
    <w:tblStylePr w:type="band1Horz">
      <w:tblPr/>
      <w:tcPr>
        <w:tcBorders>
          <w:top w:val="nil"/>
          <w:bottom w:val="nil"/>
          <w:insideH w:val="nil"/>
          <w:insideV w:val="nil"/>
        </w:tcBorders>
        <w:shd w:val="clear" w:color="auto" w:fill="E1E4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tblBorders>
    </w:tblPr>
    <w:tblStylePr w:type="firstRow">
      <w:rPr>
        <w:sz w:val="24"/>
        <w:szCs w:val="24"/>
      </w:rPr>
      <w:tblPr/>
      <w:tcPr>
        <w:tcBorders>
          <w:top w:val="nil"/>
          <w:left w:val="nil"/>
          <w:bottom w:val="single" w:color="EAA4EA" w:themeColor="accent4" w:sz="24" w:space="0"/>
          <w:right w:val="nil"/>
          <w:insideH w:val="nil"/>
          <w:insideV w:val="nil"/>
        </w:tcBorders>
        <w:shd w:val="clear" w:color="auto" w:fill="FFFFFF" w:themeFill="background1"/>
      </w:tcPr>
    </w:tblStylePr>
    <w:tblStylePr w:type="lastRow">
      <w:tblPr/>
      <w:tcPr>
        <w:tcBorders>
          <w:top w:val="single" w:color="EAA4E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AA4EA" w:themeColor="accent4" w:sz="8" w:space="0"/>
          <w:insideH w:val="nil"/>
          <w:insideV w:val="nil"/>
        </w:tcBorders>
        <w:shd w:val="clear" w:color="auto" w:fill="FFFFFF" w:themeFill="background1"/>
      </w:tcPr>
    </w:tblStylePr>
    <w:tblStylePr w:type="lastCol">
      <w:tblPr/>
      <w:tcPr>
        <w:tcBorders>
          <w:top w:val="nil"/>
          <w:left w:val="single" w:color="EAA4E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8F9" w:themeFill="accent4" w:themeFillTint="3F"/>
      </w:tcPr>
    </w:tblStylePr>
    <w:tblStylePr w:type="band1Horz">
      <w:tblPr/>
      <w:tcPr>
        <w:tcBorders>
          <w:top w:val="nil"/>
          <w:bottom w:val="nil"/>
          <w:insideH w:val="nil"/>
          <w:insideV w:val="nil"/>
        </w:tcBorders>
        <w:shd w:val="clear" w:color="auto" w:fill="F9E8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tblBorders>
    </w:tblPr>
    <w:tblStylePr w:type="firstRow">
      <w:rPr>
        <w:sz w:val="24"/>
        <w:szCs w:val="24"/>
      </w:rPr>
      <w:tblPr/>
      <w:tcPr>
        <w:tcBorders>
          <w:top w:val="nil"/>
          <w:left w:val="nil"/>
          <w:bottom w:val="single" w:color="FD969C" w:themeColor="accent5" w:sz="24" w:space="0"/>
          <w:right w:val="nil"/>
          <w:insideH w:val="nil"/>
          <w:insideV w:val="nil"/>
        </w:tcBorders>
        <w:shd w:val="clear" w:color="auto" w:fill="FFFFFF" w:themeFill="background1"/>
      </w:tcPr>
    </w:tblStylePr>
    <w:tblStylePr w:type="lastRow">
      <w:tblPr/>
      <w:tcPr>
        <w:tcBorders>
          <w:top w:val="single" w:color="FD969C"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D969C" w:themeColor="accent5" w:sz="8" w:space="0"/>
          <w:insideH w:val="nil"/>
          <w:insideV w:val="nil"/>
        </w:tcBorders>
        <w:shd w:val="clear" w:color="auto" w:fill="FFFFFF" w:themeFill="background1"/>
      </w:tcPr>
    </w:tblStylePr>
    <w:tblStylePr w:type="lastCol">
      <w:tblPr/>
      <w:tcPr>
        <w:tcBorders>
          <w:top w:val="nil"/>
          <w:left w:val="single" w:color="FD969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E6" w:themeFill="accent5" w:themeFillTint="3F"/>
      </w:tcPr>
    </w:tblStylePr>
    <w:tblStylePr w:type="band1Horz">
      <w:tblPr/>
      <w:tcPr>
        <w:tcBorders>
          <w:top w:val="nil"/>
          <w:bottom w:val="nil"/>
          <w:insideH w:val="nil"/>
          <w:insideV w:val="nil"/>
        </w:tcBorders>
        <w:shd w:val="clear" w:color="auto" w:fill="FEE4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tblBorders>
    </w:tblPr>
    <w:tblStylePr w:type="firstRow">
      <w:rPr>
        <w:sz w:val="24"/>
        <w:szCs w:val="24"/>
      </w:rPr>
      <w:tblPr/>
      <w:tcPr>
        <w:tcBorders>
          <w:top w:val="nil"/>
          <w:left w:val="nil"/>
          <w:bottom w:val="single" w:color="B7EFD7" w:themeColor="accent6" w:sz="24" w:space="0"/>
          <w:right w:val="nil"/>
          <w:insideH w:val="nil"/>
          <w:insideV w:val="nil"/>
        </w:tcBorders>
        <w:shd w:val="clear" w:color="auto" w:fill="FFFFFF" w:themeFill="background1"/>
      </w:tcPr>
    </w:tblStylePr>
    <w:tblStylePr w:type="lastRow">
      <w:tblPr/>
      <w:tcPr>
        <w:tcBorders>
          <w:top w:val="single" w:color="B7EFD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7EFD7" w:themeColor="accent6" w:sz="8" w:space="0"/>
          <w:insideH w:val="nil"/>
          <w:insideV w:val="nil"/>
        </w:tcBorders>
        <w:shd w:val="clear" w:color="auto" w:fill="FFFFFF" w:themeFill="background1"/>
      </w:tcPr>
    </w:tblStylePr>
    <w:tblStylePr w:type="lastCol">
      <w:tblPr/>
      <w:tcPr>
        <w:tcBorders>
          <w:top w:val="nil"/>
          <w:left w:val="single" w:color="B7EFD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BF4" w:themeFill="accent6" w:themeFillTint="3F"/>
      </w:tcPr>
    </w:tblStylePr>
    <w:tblStylePr w:type="band1Horz">
      <w:tblPr/>
      <w:tcPr>
        <w:tcBorders>
          <w:top w:val="nil"/>
          <w:bottom w:val="nil"/>
          <w:insideH w:val="nil"/>
          <w:insideV w:val="nil"/>
        </w:tcBorders>
        <w:shd w:val="clear" w:color="auto" w:fill="EDFB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238C5"/>
    <w:tblPr>
      <w:tblStyleRowBandSize w:val="1"/>
      <w:tblStyleColBandSize w:val="1"/>
      <w:tblBorders>
        <w:top w:val="single" w:color="636363" w:themeColor="text1" w:themeTint="BF" w:sz="8" w:space="0"/>
        <w:left w:val="single" w:color="636363" w:themeColor="text1" w:themeTint="BF" w:sz="8" w:space="0"/>
        <w:bottom w:val="single" w:color="636363" w:themeColor="text1" w:themeTint="BF" w:sz="8" w:space="0"/>
        <w:right w:val="single" w:color="636363" w:themeColor="text1" w:themeTint="BF" w:sz="8" w:space="0"/>
        <w:insideH w:val="single" w:color="636363" w:themeColor="text1" w:themeTint="BF" w:sz="8" w:space="0"/>
      </w:tblBorders>
    </w:tblPr>
    <w:tblStylePr w:type="firstRow">
      <w:pPr>
        <w:spacing w:before="0" w:after="0" w:line="240" w:lineRule="auto"/>
      </w:pPr>
      <w:rPr>
        <w:b/>
        <w:bCs/>
        <w:color w:val="FFFFFF" w:themeColor="background1"/>
      </w:rPr>
      <w:tblPr/>
      <w:tcPr>
        <w:tcBorders>
          <w:top w:val="single" w:color="636363" w:themeColor="text1" w:themeTint="BF" w:sz="8" w:space="0"/>
          <w:left w:val="single" w:color="636363" w:themeColor="text1" w:themeTint="BF" w:sz="8" w:space="0"/>
          <w:bottom w:val="single" w:color="636363" w:themeColor="text1" w:themeTint="BF" w:sz="8" w:space="0"/>
          <w:right w:val="single" w:color="636363" w:themeColor="text1" w:themeTint="BF" w:sz="8" w:space="0"/>
          <w:insideH w:val="nil"/>
          <w:insideV w:val="nil"/>
        </w:tcBorders>
        <w:shd w:val="clear" w:color="auto" w:fill="303030" w:themeFill="text1"/>
      </w:tcPr>
    </w:tblStylePr>
    <w:tblStylePr w:type="lastRow">
      <w:pPr>
        <w:spacing w:before="0" w:after="0" w:line="240" w:lineRule="auto"/>
      </w:pPr>
      <w:rPr>
        <w:b/>
        <w:bCs/>
      </w:rPr>
      <w:tblPr/>
      <w:tcPr>
        <w:tcBorders>
          <w:top w:val="double" w:color="636363" w:themeColor="text1" w:themeTint="BF" w:sz="6" w:space="0"/>
          <w:left w:val="single" w:color="636363" w:themeColor="text1" w:themeTint="BF" w:sz="8" w:space="0"/>
          <w:bottom w:val="single" w:color="636363" w:themeColor="text1" w:themeTint="BF" w:sz="8" w:space="0"/>
          <w:right w:val="single" w:color="636363"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238C5"/>
    <w:tblPr>
      <w:tblStyleRowBandSize w:val="1"/>
      <w:tblStyleColBandSize w:val="1"/>
      <w:tblBorders>
        <w:top w:val="single" w:color="A5EBCD" w:themeColor="accent1" w:themeTint="BF" w:sz="8" w:space="0"/>
        <w:left w:val="single" w:color="A5EBCD" w:themeColor="accent1" w:themeTint="BF" w:sz="8" w:space="0"/>
        <w:bottom w:val="single" w:color="A5EBCD" w:themeColor="accent1" w:themeTint="BF" w:sz="8" w:space="0"/>
        <w:right w:val="single" w:color="A5EBCD" w:themeColor="accent1" w:themeTint="BF" w:sz="8" w:space="0"/>
        <w:insideH w:val="single" w:color="A5EBCD" w:themeColor="accent1" w:themeTint="BF" w:sz="8" w:space="0"/>
      </w:tblBorders>
    </w:tblPr>
    <w:tblStylePr w:type="firstRow">
      <w:pPr>
        <w:spacing w:before="0" w:after="0" w:line="240" w:lineRule="auto"/>
      </w:pPr>
      <w:rPr>
        <w:b/>
        <w:bCs/>
        <w:color w:val="FFFFFF" w:themeColor="background1"/>
      </w:rPr>
      <w:tblPr/>
      <w:tcPr>
        <w:tcBorders>
          <w:top w:val="single" w:color="A5EBCD" w:themeColor="accent1" w:themeTint="BF" w:sz="8" w:space="0"/>
          <w:left w:val="single" w:color="A5EBCD" w:themeColor="accent1" w:themeTint="BF" w:sz="8" w:space="0"/>
          <w:bottom w:val="single" w:color="A5EBCD" w:themeColor="accent1" w:themeTint="BF" w:sz="8" w:space="0"/>
          <w:right w:val="single" w:color="A5EBCD" w:themeColor="accent1" w:themeTint="BF" w:sz="8" w:space="0"/>
          <w:insideH w:val="nil"/>
          <w:insideV w:val="nil"/>
        </w:tcBorders>
        <w:shd w:val="clear" w:color="auto" w:fill="88E5BD" w:themeFill="accent1"/>
      </w:tcPr>
    </w:tblStylePr>
    <w:tblStylePr w:type="lastRow">
      <w:pPr>
        <w:spacing w:before="0" w:after="0" w:line="240" w:lineRule="auto"/>
      </w:pPr>
      <w:rPr>
        <w:b/>
        <w:bCs/>
      </w:rPr>
      <w:tblPr/>
      <w:tcPr>
        <w:tcBorders>
          <w:top w:val="double" w:color="A5EBCD" w:themeColor="accent1" w:themeTint="BF" w:sz="6" w:space="0"/>
          <w:left w:val="single" w:color="A5EBCD" w:themeColor="accent1" w:themeTint="BF" w:sz="8" w:space="0"/>
          <w:bottom w:val="single" w:color="A5EBCD" w:themeColor="accent1" w:themeTint="BF" w:sz="8" w:space="0"/>
          <w:right w:val="single" w:color="A5EB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E1F8EE" w:themeFill="accent1" w:themeFillTint="3F"/>
      </w:tcPr>
    </w:tblStylePr>
    <w:tblStylePr w:type="band1Horz">
      <w:tblPr/>
      <w:tcPr>
        <w:tcBorders>
          <w:insideH w:val="nil"/>
          <w:insideV w:val="nil"/>
        </w:tcBorders>
        <w:shd w:val="clear" w:color="auto" w:fill="E1F8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238C5"/>
    <w:tblPr>
      <w:tblStyleRowBandSize w:val="1"/>
      <w:tblStyleColBandSize w:val="1"/>
      <w:tblBorders>
        <w:top w:val="single" w:color="7ED1EB" w:themeColor="accent2" w:themeTint="BF" w:sz="8" w:space="0"/>
        <w:left w:val="single" w:color="7ED1EB" w:themeColor="accent2" w:themeTint="BF" w:sz="8" w:space="0"/>
        <w:bottom w:val="single" w:color="7ED1EB" w:themeColor="accent2" w:themeTint="BF" w:sz="8" w:space="0"/>
        <w:right w:val="single" w:color="7ED1EB" w:themeColor="accent2" w:themeTint="BF" w:sz="8" w:space="0"/>
        <w:insideH w:val="single" w:color="7ED1EB" w:themeColor="accent2" w:themeTint="BF" w:sz="8" w:space="0"/>
      </w:tblBorders>
    </w:tblPr>
    <w:tblStylePr w:type="firstRow">
      <w:pPr>
        <w:spacing w:before="0" w:after="0" w:line="240" w:lineRule="auto"/>
      </w:pPr>
      <w:rPr>
        <w:b/>
        <w:bCs/>
        <w:color w:val="FFFFFF" w:themeColor="background1"/>
      </w:rPr>
      <w:tblPr/>
      <w:tcPr>
        <w:tcBorders>
          <w:top w:val="single" w:color="7ED1EB" w:themeColor="accent2" w:themeTint="BF" w:sz="8" w:space="0"/>
          <w:left w:val="single" w:color="7ED1EB" w:themeColor="accent2" w:themeTint="BF" w:sz="8" w:space="0"/>
          <w:bottom w:val="single" w:color="7ED1EB" w:themeColor="accent2" w:themeTint="BF" w:sz="8" w:space="0"/>
          <w:right w:val="single" w:color="7ED1EB" w:themeColor="accent2" w:themeTint="BF" w:sz="8" w:space="0"/>
          <w:insideH w:val="nil"/>
          <w:insideV w:val="nil"/>
        </w:tcBorders>
        <w:shd w:val="clear" w:color="auto" w:fill="53C2E5" w:themeFill="accent2"/>
      </w:tcPr>
    </w:tblStylePr>
    <w:tblStylePr w:type="lastRow">
      <w:pPr>
        <w:spacing w:before="0" w:after="0" w:line="240" w:lineRule="auto"/>
      </w:pPr>
      <w:rPr>
        <w:b/>
        <w:bCs/>
      </w:rPr>
      <w:tblPr/>
      <w:tcPr>
        <w:tcBorders>
          <w:top w:val="double" w:color="7ED1EB" w:themeColor="accent2" w:themeTint="BF" w:sz="6" w:space="0"/>
          <w:left w:val="single" w:color="7ED1EB" w:themeColor="accent2" w:themeTint="BF" w:sz="8" w:space="0"/>
          <w:bottom w:val="single" w:color="7ED1EB" w:themeColor="accent2" w:themeTint="BF" w:sz="8" w:space="0"/>
          <w:right w:val="single" w:color="7ED1EB"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4EFF8" w:themeFill="accent2" w:themeFillTint="3F"/>
      </w:tcPr>
    </w:tblStylePr>
    <w:tblStylePr w:type="band1Horz">
      <w:tblPr/>
      <w:tcPr>
        <w:tcBorders>
          <w:insideH w:val="nil"/>
          <w:insideV w:val="nil"/>
        </w:tcBorders>
        <w:shd w:val="clear" w:color="auto" w:fill="D4EF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238C5"/>
    <w:tblPr>
      <w:tblStyleRowBandSize w:val="1"/>
      <w:tblStyleColBandSize w:val="1"/>
      <w:tblBorders>
        <w:top w:val="single" w:color="A6AFF6" w:themeColor="accent3" w:themeTint="BF" w:sz="8" w:space="0"/>
        <w:left w:val="single" w:color="A6AFF6" w:themeColor="accent3" w:themeTint="BF" w:sz="8" w:space="0"/>
        <w:bottom w:val="single" w:color="A6AFF6" w:themeColor="accent3" w:themeTint="BF" w:sz="8" w:space="0"/>
        <w:right w:val="single" w:color="A6AFF6" w:themeColor="accent3" w:themeTint="BF" w:sz="8" w:space="0"/>
        <w:insideH w:val="single" w:color="A6AFF6" w:themeColor="accent3" w:themeTint="BF" w:sz="8" w:space="0"/>
      </w:tblBorders>
    </w:tblPr>
    <w:tblStylePr w:type="firstRow">
      <w:pPr>
        <w:spacing w:before="0" w:after="0" w:line="240" w:lineRule="auto"/>
      </w:pPr>
      <w:rPr>
        <w:b/>
        <w:bCs/>
        <w:color w:val="FFFFFF" w:themeColor="background1"/>
      </w:rPr>
      <w:tblPr/>
      <w:tcPr>
        <w:tcBorders>
          <w:top w:val="single" w:color="A6AFF6" w:themeColor="accent3" w:themeTint="BF" w:sz="8" w:space="0"/>
          <w:left w:val="single" w:color="A6AFF6" w:themeColor="accent3" w:themeTint="BF" w:sz="8" w:space="0"/>
          <w:bottom w:val="single" w:color="A6AFF6" w:themeColor="accent3" w:themeTint="BF" w:sz="8" w:space="0"/>
          <w:right w:val="single" w:color="A6AFF6" w:themeColor="accent3" w:themeTint="BF" w:sz="8" w:space="0"/>
          <w:insideH w:val="nil"/>
          <w:insideV w:val="nil"/>
        </w:tcBorders>
        <w:shd w:val="clear" w:color="auto" w:fill="8996F4" w:themeFill="accent3"/>
      </w:tcPr>
    </w:tblStylePr>
    <w:tblStylePr w:type="lastRow">
      <w:pPr>
        <w:spacing w:before="0" w:after="0" w:line="240" w:lineRule="auto"/>
      </w:pPr>
      <w:rPr>
        <w:b/>
        <w:bCs/>
      </w:rPr>
      <w:tblPr/>
      <w:tcPr>
        <w:tcBorders>
          <w:top w:val="double" w:color="A6AFF6" w:themeColor="accent3" w:themeTint="BF" w:sz="6" w:space="0"/>
          <w:left w:val="single" w:color="A6AFF6" w:themeColor="accent3" w:themeTint="BF" w:sz="8" w:space="0"/>
          <w:bottom w:val="single" w:color="A6AFF6" w:themeColor="accent3" w:themeTint="BF" w:sz="8" w:space="0"/>
          <w:right w:val="single" w:color="A6AFF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1E4FC" w:themeFill="accent3" w:themeFillTint="3F"/>
      </w:tcPr>
    </w:tblStylePr>
    <w:tblStylePr w:type="band1Horz">
      <w:tblPr/>
      <w:tcPr>
        <w:tcBorders>
          <w:insideH w:val="nil"/>
          <w:insideV w:val="nil"/>
        </w:tcBorders>
        <w:shd w:val="clear" w:color="auto" w:fill="E1E4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238C5"/>
    <w:tblPr>
      <w:tblStyleRowBandSize w:val="1"/>
      <w:tblStyleColBandSize w:val="1"/>
      <w:tblBorders>
        <w:top w:val="single" w:color="EFBAEF" w:themeColor="accent4" w:themeTint="BF" w:sz="8" w:space="0"/>
        <w:left w:val="single" w:color="EFBAEF" w:themeColor="accent4" w:themeTint="BF" w:sz="8" w:space="0"/>
        <w:bottom w:val="single" w:color="EFBAEF" w:themeColor="accent4" w:themeTint="BF" w:sz="8" w:space="0"/>
        <w:right w:val="single" w:color="EFBAEF" w:themeColor="accent4" w:themeTint="BF" w:sz="8" w:space="0"/>
        <w:insideH w:val="single" w:color="EFBAEF" w:themeColor="accent4" w:themeTint="BF" w:sz="8" w:space="0"/>
      </w:tblBorders>
    </w:tblPr>
    <w:tblStylePr w:type="firstRow">
      <w:pPr>
        <w:spacing w:before="0" w:after="0" w:line="240" w:lineRule="auto"/>
      </w:pPr>
      <w:rPr>
        <w:b/>
        <w:bCs/>
        <w:color w:val="FFFFFF" w:themeColor="background1"/>
      </w:rPr>
      <w:tblPr/>
      <w:tcPr>
        <w:tcBorders>
          <w:top w:val="single" w:color="EFBAEF" w:themeColor="accent4" w:themeTint="BF" w:sz="8" w:space="0"/>
          <w:left w:val="single" w:color="EFBAEF" w:themeColor="accent4" w:themeTint="BF" w:sz="8" w:space="0"/>
          <w:bottom w:val="single" w:color="EFBAEF" w:themeColor="accent4" w:themeTint="BF" w:sz="8" w:space="0"/>
          <w:right w:val="single" w:color="EFBAEF" w:themeColor="accent4" w:themeTint="BF" w:sz="8" w:space="0"/>
          <w:insideH w:val="nil"/>
          <w:insideV w:val="nil"/>
        </w:tcBorders>
        <w:shd w:val="clear" w:color="auto" w:fill="EAA4EA" w:themeFill="accent4"/>
      </w:tcPr>
    </w:tblStylePr>
    <w:tblStylePr w:type="lastRow">
      <w:pPr>
        <w:spacing w:before="0" w:after="0" w:line="240" w:lineRule="auto"/>
      </w:pPr>
      <w:rPr>
        <w:b/>
        <w:bCs/>
      </w:rPr>
      <w:tblPr/>
      <w:tcPr>
        <w:tcBorders>
          <w:top w:val="double" w:color="EFBAEF" w:themeColor="accent4" w:themeTint="BF" w:sz="6" w:space="0"/>
          <w:left w:val="single" w:color="EFBAEF" w:themeColor="accent4" w:themeTint="BF" w:sz="8" w:space="0"/>
          <w:bottom w:val="single" w:color="EFBAEF" w:themeColor="accent4" w:themeTint="BF" w:sz="8" w:space="0"/>
          <w:right w:val="single" w:color="EFBAE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9E8F9" w:themeFill="accent4" w:themeFillTint="3F"/>
      </w:tcPr>
    </w:tblStylePr>
    <w:tblStylePr w:type="band1Horz">
      <w:tblPr/>
      <w:tcPr>
        <w:tcBorders>
          <w:insideH w:val="nil"/>
          <w:insideV w:val="nil"/>
        </w:tcBorders>
        <w:shd w:val="clear" w:color="auto" w:fill="F9E8F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238C5"/>
    <w:tblPr>
      <w:tblStyleRowBandSize w:val="1"/>
      <w:tblStyleColBandSize w:val="1"/>
      <w:tblBorders>
        <w:top w:val="single" w:color="FDB0B4" w:themeColor="accent5" w:themeTint="BF" w:sz="8" w:space="0"/>
        <w:left w:val="single" w:color="FDB0B4" w:themeColor="accent5" w:themeTint="BF" w:sz="8" w:space="0"/>
        <w:bottom w:val="single" w:color="FDB0B4" w:themeColor="accent5" w:themeTint="BF" w:sz="8" w:space="0"/>
        <w:right w:val="single" w:color="FDB0B4" w:themeColor="accent5" w:themeTint="BF" w:sz="8" w:space="0"/>
        <w:insideH w:val="single" w:color="FDB0B4" w:themeColor="accent5" w:themeTint="BF" w:sz="8" w:space="0"/>
      </w:tblBorders>
    </w:tblPr>
    <w:tblStylePr w:type="firstRow">
      <w:pPr>
        <w:spacing w:before="0" w:after="0" w:line="240" w:lineRule="auto"/>
      </w:pPr>
      <w:rPr>
        <w:b/>
        <w:bCs/>
        <w:color w:val="FFFFFF" w:themeColor="background1"/>
      </w:rPr>
      <w:tblPr/>
      <w:tcPr>
        <w:tcBorders>
          <w:top w:val="single" w:color="FDB0B4" w:themeColor="accent5" w:themeTint="BF" w:sz="8" w:space="0"/>
          <w:left w:val="single" w:color="FDB0B4" w:themeColor="accent5" w:themeTint="BF" w:sz="8" w:space="0"/>
          <w:bottom w:val="single" w:color="FDB0B4" w:themeColor="accent5" w:themeTint="BF" w:sz="8" w:space="0"/>
          <w:right w:val="single" w:color="FDB0B4" w:themeColor="accent5" w:themeTint="BF" w:sz="8" w:space="0"/>
          <w:insideH w:val="nil"/>
          <w:insideV w:val="nil"/>
        </w:tcBorders>
        <w:shd w:val="clear" w:color="auto" w:fill="FD969C" w:themeFill="accent5"/>
      </w:tcPr>
    </w:tblStylePr>
    <w:tblStylePr w:type="lastRow">
      <w:pPr>
        <w:spacing w:before="0" w:after="0" w:line="240" w:lineRule="auto"/>
      </w:pPr>
      <w:rPr>
        <w:b/>
        <w:bCs/>
      </w:rPr>
      <w:tblPr/>
      <w:tcPr>
        <w:tcBorders>
          <w:top w:val="double" w:color="FDB0B4" w:themeColor="accent5" w:themeTint="BF" w:sz="6" w:space="0"/>
          <w:left w:val="single" w:color="FDB0B4" w:themeColor="accent5" w:themeTint="BF" w:sz="8" w:space="0"/>
          <w:bottom w:val="single" w:color="FDB0B4" w:themeColor="accent5" w:themeTint="BF" w:sz="8" w:space="0"/>
          <w:right w:val="single" w:color="FDB0B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EE4E6" w:themeFill="accent5" w:themeFillTint="3F"/>
      </w:tcPr>
    </w:tblStylePr>
    <w:tblStylePr w:type="band1Horz">
      <w:tblPr/>
      <w:tcPr>
        <w:tcBorders>
          <w:insideH w:val="nil"/>
          <w:insideV w:val="nil"/>
        </w:tcBorders>
        <w:shd w:val="clear" w:color="auto" w:fill="FEE4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238C5"/>
    <w:tblPr>
      <w:tblStyleRowBandSize w:val="1"/>
      <w:tblStyleColBandSize w:val="1"/>
      <w:tblBorders>
        <w:top w:val="single" w:color="C9F3E0" w:themeColor="accent6" w:themeTint="BF" w:sz="8" w:space="0"/>
        <w:left w:val="single" w:color="C9F3E0" w:themeColor="accent6" w:themeTint="BF" w:sz="8" w:space="0"/>
        <w:bottom w:val="single" w:color="C9F3E0" w:themeColor="accent6" w:themeTint="BF" w:sz="8" w:space="0"/>
        <w:right w:val="single" w:color="C9F3E0" w:themeColor="accent6" w:themeTint="BF" w:sz="8" w:space="0"/>
        <w:insideH w:val="single" w:color="C9F3E0" w:themeColor="accent6" w:themeTint="BF" w:sz="8" w:space="0"/>
      </w:tblBorders>
    </w:tblPr>
    <w:tblStylePr w:type="firstRow">
      <w:pPr>
        <w:spacing w:before="0" w:after="0" w:line="240" w:lineRule="auto"/>
      </w:pPr>
      <w:rPr>
        <w:b/>
        <w:bCs/>
        <w:color w:val="FFFFFF" w:themeColor="background1"/>
      </w:rPr>
      <w:tblPr/>
      <w:tcPr>
        <w:tcBorders>
          <w:top w:val="single" w:color="C9F3E0" w:themeColor="accent6" w:themeTint="BF" w:sz="8" w:space="0"/>
          <w:left w:val="single" w:color="C9F3E0" w:themeColor="accent6" w:themeTint="BF" w:sz="8" w:space="0"/>
          <w:bottom w:val="single" w:color="C9F3E0" w:themeColor="accent6" w:themeTint="BF" w:sz="8" w:space="0"/>
          <w:right w:val="single" w:color="C9F3E0" w:themeColor="accent6" w:themeTint="BF" w:sz="8" w:space="0"/>
          <w:insideH w:val="nil"/>
          <w:insideV w:val="nil"/>
        </w:tcBorders>
        <w:shd w:val="clear" w:color="auto" w:fill="B7EFD7" w:themeFill="accent6"/>
      </w:tcPr>
    </w:tblStylePr>
    <w:tblStylePr w:type="lastRow">
      <w:pPr>
        <w:spacing w:before="0" w:after="0" w:line="240" w:lineRule="auto"/>
      </w:pPr>
      <w:rPr>
        <w:b/>
        <w:bCs/>
      </w:rPr>
      <w:tblPr/>
      <w:tcPr>
        <w:tcBorders>
          <w:top w:val="double" w:color="C9F3E0" w:themeColor="accent6" w:themeTint="BF" w:sz="6" w:space="0"/>
          <w:left w:val="single" w:color="C9F3E0" w:themeColor="accent6" w:themeTint="BF" w:sz="8" w:space="0"/>
          <w:bottom w:val="single" w:color="C9F3E0" w:themeColor="accent6" w:themeTint="BF" w:sz="8" w:space="0"/>
          <w:right w:val="single" w:color="C9F3E0"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DFBF4" w:themeFill="accent6" w:themeFillTint="3F"/>
      </w:tcPr>
    </w:tblStylePr>
    <w:tblStylePr w:type="band1Horz">
      <w:tblPr/>
      <w:tcPr>
        <w:tcBorders>
          <w:insideH w:val="nil"/>
          <w:insideV w:val="nil"/>
        </w:tcBorders>
        <w:shd w:val="clear" w:color="auto" w:fill="EDFB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0303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03030" w:themeFill="text1"/>
      </w:tcPr>
    </w:tblStylePr>
    <w:tblStylePr w:type="lastCol">
      <w:rPr>
        <w:b/>
        <w:bCs/>
        <w:color w:val="FFFFFF" w:themeColor="background1"/>
      </w:rPr>
      <w:tblPr/>
      <w:tcPr>
        <w:tcBorders>
          <w:left w:val="nil"/>
          <w:right w:val="nil"/>
          <w:insideH w:val="nil"/>
          <w:insideV w:val="nil"/>
        </w:tcBorders>
        <w:shd w:val="clear" w:color="auto" w:fill="30303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8E5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8E5BD" w:themeFill="accent1"/>
      </w:tcPr>
    </w:tblStylePr>
    <w:tblStylePr w:type="lastCol">
      <w:rPr>
        <w:b/>
        <w:bCs/>
        <w:color w:val="FFFFFF" w:themeColor="background1"/>
      </w:rPr>
      <w:tblPr/>
      <w:tcPr>
        <w:tcBorders>
          <w:left w:val="nil"/>
          <w:right w:val="nil"/>
          <w:insideH w:val="nil"/>
          <w:insideV w:val="nil"/>
        </w:tcBorders>
        <w:shd w:val="clear" w:color="auto" w:fill="88E5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3C2E5"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3C2E5" w:themeFill="accent2"/>
      </w:tcPr>
    </w:tblStylePr>
    <w:tblStylePr w:type="lastCol">
      <w:rPr>
        <w:b/>
        <w:bCs/>
        <w:color w:val="FFFFFF" w:themeColor="background1"/>
      </w:rPr>
      <w:tblPr/>
      <w:tcPr>
        <w:tcBorders>
          <w:left w:val="nil"/>
          <w:right w:val="nil"/>
          <w:insideH w:val="nil"/>
          <w:insideV w:val="nil"/>
        </w:tcBorders>
        <w:shd w:val="clear" w:color="auto" w:fill="53C2E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996F4"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996F4" w:themeFill="accent3"/>
      </w:tcPr>
    </w:tblStylePr>
    <w:tblStylePr w:type="lastCol">
      <w:rPr>
        <w:b/>
        <w:bCs/>
        <w:color w:val="FFFFFF" w:themeColor="background1"/>
      </w:rPr>
      <w:tblPr/>
      <w:tcPr>
        <w:tcBorders>
          <w:left w:val="nil"/>
          <w:right w:val="nil"/>
          <w:insideH w:val="nil"/>
          <w:insideV w:val="nil"/>
        </w:tcBorders>
        <w:shd w:val="clear" w:color="auto" w:fill="8996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AA4E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AA4EA" w:themeFill="accent4"/>
      </w:tcPr>
    </w:tblStylePr>
    <w:tblStylePr w:type="lastCol">
      <w:rPr>
        <w:b/>
        <w:bCs/>
        <w:color w:val="FFFFFF" w:themeColor="background1"/>
      </w:rPr>
      <w:tblPr/>
      <w:tcPr>
        <w:tcBorders>
          <w:left w:val="nil"/>
          <w:right w:val="nil"/>
          <w:insideH w:val="nil"/>
          <w:insideV w:val="nil"/>
        </w:tcBorders>
        <w:shd w:val="clear" w:color="auto" w:fill="EAA4E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D969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D969C" w:themeFill="accent5"/>
      </w:tcPr>
    </w:tblStylePr>
    <w:tblStylePr w:type="lastCol">
      <w:rPr>
        <w:b/>
        <w:bCs/>
        <w:color w:val="FFFFFF" w:themeColor="background1"/>
      </w:rPr>
      <w:tblPr/>
      <w:tcPr>
        <w:tcBorders>
          <w:left w:val="nil"/>
          <w:right w:val="nil"/>
          <w:insideH w:val="nil"/>
          <w:insideV w:val="nil"/>
        </w:tcBorders>
        <w:shd w:val="clear" w:color="auto" w:fill="FD969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7EFD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7EFD7" w:themeFill="accent6"/>
      </w:tcPr>
    </w:tblStylePr>
    <w:tblStylePr w:type="lastCol">
      <w:rPr>
        <w:b/>
        <w:bCs/>
        <w:color w:val="FFFFFF" w:themeColor="background1"/>
      </w:rPr>
      <w:tblPr/>
      <w:tcPr>
        <w:tcBorders>
          <w:left w:val="nil"/>
          <w:right w:val="nil"/>
          <w:insideH w:val="nil"/>
          <w:insideV w:val="nil"/>
        </w:tcBorders>
        <w:shd w:val="clear" w:color="auto" w:fill="B7EF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rsid w:val="00F238C5"/>
    <w:rPr>
      <w:color w:val="2B579A"/>
      <w:shd w:val="clear" w:color="auto" w:fill="E1DFDD"/>
    </w:rPr>
  </w:style>
  <w:style w:type="paragraph" w:styleId="MessageHeader">
    <w:name w:val="Message Header"/>
    <w:basedOn w:val="Normal"/>
    <w:link w:val="MessageHeaderChar"/>
    <w:uiPriority w:val="99"/>
    <w:semiHidden/>
    <w:rsid w:val="00F238C5"/>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F238C5"/>
    <w:rPr>
      <w:rFonts w:asciiTheme="majorHAnsi" w:hAnsiTheme="majorHAnsi" w:eastAsiaTheme="majorEastAsia" w:cstheme="majorBidi"/>
      <w:sz w:val="24"/>
      <w:szCs w:val="24"/>
      <w:shd w:val="pct20" w:color="auto" w:fill="auto"/>
      <w:lang w:eastAsia="en-US"/>
    </w:rPr>
  </w:style>
  <w:style w:type="paragraph" w:styleId="NoSpacing">
    <w:name w:val="No Spacing"/>
    <w:uiPriority w:val="59"/>
    <w:semiHidden/>
    <w:qFormat/>
    <w:rsid w:val="00F238C5"/>
    <w:pPr>
      <w:jc w:val="both"/>
    </w:pPr>
    <w:rPr>
      <w:rFonts w:eastAsiaTheme="minorHAnsi" w:cstheme="minorBidi"/>
      <w:lang w:eastAsia="en-US"/>
    </w:rPr>
  </w:style>
  <w:style w:type="paragraph" w:styleId="NormalWeb">
    <w:name w:val="Normal (Web)"/>
    <w:basedOn w:val="Normal"/>
    <w:uiPriority w:val="99"/>
    <w:semiHidden/>
    <w:rsid w:val="00F238C5"/>
    <w:rPr>
      <w:rFonts w:ascii="Times New Roman" w:hAnsi="Times New Roman" w:cs="Times New Roman"/>
      <w:sz w:val="24"/>
      <w:szCs w:val="24"/>
    </w:rPr>
  </w:style>
  <w:style w:type="paragraph" w:styleId="NormalIndent">
    <w:name w:val="Normal Indent"/>
    <w:basedOn w:val="Normal"/>
    <w:uiPriority w:val="99"/>
    <w:semiHidden/>
    <w:rsid w:val="00F238C5"/>
    <w:pPr>
      <w:ind w:left="720"/>
    </w:pPr>
  </w:style>
  <w:style w:type="paragraph" w:styleId="NoteHeading">
    <w:name w:val="Note Heading"/>
    <w:basedOn w:val="Normal"/>
    <w:next w:val="Normal"/>
    <w:link w:val="NoteHeadingChar"/>
    <w:uiPriority w:val="99"/>
    <w:semiHidden/>
    <w:rsid w:val="00F238C5"/>
  </w:style>
  <w:style w:type="character" w:styleId="NoteHeadingChar" w:customStyle="1">
    <w:name w:val="Note Heading Char"/>
    <w:basedOn w:val="DefaultParagraphFont"/>
    <w:link w:val="NoteHeading"/>
    <w:uiPriority w:val="99"/>
    <w:semiHidden/>
    <w:rsid w:val="00F238C5"/>
    <w:rPr>
      <w:rFonts w:eastAsiaTheme="minorHAnsi" w:cstheme="minorBidi"/>
      <w:lang w:eastAsia="en-US"/>
    </w:rPr>
  </w:style>
  <w:style w:type="table" w:styleId="PlainTable1">
    <w:name w:val="Plain Table 1"/>
    <w:basedOn w:val="TableNormal"/>
    <w:uiPriority w:val="41"/>
    <w:rsid w:val="00F238C5"/>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38C5"/>
    <w:tblPr>
      <w:tblStyleRowBandSize w:val="1"/>
      <w:tblStyleColBandSize w:val="1"/>
      <w:tblBorders>
        <w:top w:val="single" w:color="979797" w:themeColor="text1" w:themeTint="80" w:sz="4" w:space="0"/>
        <w:bottom w:val="single" w:color="979797" w:themeColor="text1" w:themeTint="80" w:sz="4" w:space="0"/>
      </w:tblBorders>
    </w:tblPr>
    <w:tblStylePr w:type="firstRow">
      <w:rPr>
        <w:b/>
        <w:bCs/>
      </w:rPr>
      <w:tblPr/>
      <w:tcPr>
        <w:tcBorders>
          <w:bottom w:val="single" w:color="979797" w:themeColor="text1" w:themeTint="80" w:sz="4" w:space="0"/>
        </w:tcBorders>
      </w:tcPr>
    </w:tblStylePr>
    <w:tblStylePr w:type="lastRow">
      <w:rPr>
        <w:b/>
        <w:bCs/>
      </w:rPr>
      <w:tblPr/>
      <w:tcPr>
        <w:tcBorders>
          <w:top w:val="single" w:color="979797" w:themeColor="text1" w:themeTint="80" w:sz="4" w:space="0"/>
        </w:tcBorders>
      </w:tcPr>
    </w:tblStylePr>
    <w:tblStylePr w:type="firstCol">
      <w:rPr>
        <w:b/>
        <w:bCs/>
      </w:rPr>
    </w:tblStylePr>
    <w:tblStylePr w:type="lastCol">
      <w:rPr>
        <w:b/>
        <w:bCs/>
      </w:rPr>
    </w:tblStylePr>
    <w:tblStylePr w:type="band1Vert">
      <w:tblPr/>
      <w:tcPr>
        <w:tcBorders>
          <w:left w:val="single" w:color="979797" w:themeColor="text1" w:themeTint="80" w:sz="4" w:space="0"/>
          <w:right w:val="single" w:color="979797" w:themeColor="text1" w:themeTint="80" w:sz="4" w:space="0"/>
        </w:tcBorders>
      </w:tcPr>
    </w:tblStylePr>
    <w:tblStylePr w:type="band2Vert">
      <w:tblPr/>
      <w:tcPr>
        <w:tcBorders>
          <w:left w:val="single" w:color="979797" w:themeColor="text1" w:themeTint="80" w:sz="4" w:space="0"/>
          <w:right w:val="single" w:color="979797" w:themeColor="text1" w:themeTint="80" w:sz="4" w:space="0"/>
        </w:tcBorders>
      </w:tcPr>
    </w:tblStylePr>
    <w:tblStylePr w:type="band1Horz">
      <w:tblPr/>
      <w:tcPr>
        <w:tcBorders>
          <w:top w:val="single" w:color="979797" w:themeColor="text1" w:themeTint="80" w:sz="4" w:space="0"/>
          <w:bottom w:val="single" w:color="979797" w:themeColor="text1" w:themeTint="80" w:sz="4" w:space="0"/>
        </w:tcBorders>
      </w:tcPr>
    </w:tblStylePr>
  </w:style>
  <w:style w:type="table" w:styleId="PlainTable3">
    <w:name w:val="Plain Table 3"/>
    <w:basedOn w:val="TableNormal"/>
    <w:uiPriority w:val="43"/>
    <w:rsid w:val="00F238C5"/>
    <w:tblPr>
      <w:tblStyleRowBandSize w:val="1"/>
      <w:tblStyleColBandSize w:val="1"/>
    </w:tblPr>
    <w:tblStylePr w:type="firstRow">
      <w:rPr>
        <w:b/>
        <w:bCs/>
        <w:caps/>
      </w:rPr>
      <w:tblPr/>
      <w:tcPr>
        <w:tcBorders>
          <w:bottom w:val="single" w:color="979797"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979797"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238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238C5"/>
    <w:tblPr>
      <w:tblStyleRowBandSize w:val="1"/>
      <w:tblStyleColBandSize w:val="1"/>
    </w:tblPr>
    <w:tblStylePr w:type="firstRow">
      <w:rPr>
        <w:rFonts w:asciiTheme="majorHAnsi" w:hAnsiTheme="majorHAnsi" w:eastAsiaTheme="majorEastAsia" w:cstheme="majorBidi"/>
        <w:i/>
        <w:iCs/>
        <w:sz w:val="26"/>
      </w:rPr>
      <w:tblPr/>
      <w:tcPr>
        <w:tcBorders>
          <w:bottom w:val="single" w:color="979797"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79797"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79797"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79797"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F238C5"/>
    <w:rPr>
      <w:rFonts w:ascii="Consolas" w:hAnsi="Consolas"/>
      <w:sz w:val="21"/>
      <w:szCs w:val="21"/>
    </w:rPr>
  </w:style>
  <w:style w:type="character" w:styleId="PlainTextChar" w:customStyle="1">
    <w:name w:val="Plain Text Char"/>
    <w:basedOn w:val="DefaultParagraphFont"/>
    <w:link w:val="PlainText"/>
    <w:uiPriority w:val="99"/>
    <w:semiHidden/>
    <w:rsid w:val="00F238C5"/>
    <w:rPr>
      <w:rFonts w:ascii="Consolas" w:hAnsi="Consolas" w:eastAsiaTheme="minorHAnsi" w:cstheme="minorBidi"/>
      <w:sz w:val="21"/>
      <w:szCs w:val="21"/>
      <w:lang w:eastAsia="en-US"/>
    </w:rPr>
  </w:style>
  <w:style w:type="paragraph" w:styleId="Quote">
    <w:name w:val="Quote"/>
    <w:basedOn w:val="Normal"/>
    <w:next w:val="Normal"/>
    <w:link w:val="QuoteChar"/>
    <w:uiPriority w:val="59"/>
    <w:semiHidden/>
    <w:qFormat/>
    <w:rsid w:val="00F238C5"/>
    <w:pPr>
      <w:spacing w:before="200" w:after="160"/>
      <w:ind w:left="864" w:right="864"/>
      <w:jc w:val="center"/>
    </w:pPr>
    <w:rPr>
      <w:i/>
      <w:iCs/>
      <w:color w:val="636363" w:themeColor="text1" w:themeTint="BF"/>
    </w:rPr>
  </w:style>
  <w:style w:type="character" w:styleId="QuoteChar" w:customStyle="1">
    <w:name w:val="Quote Char"/>
    <w:basedOn w:val="DefaultParagraphFont"/>
    <w:link w:val="Quote"/>
    <w:uiPriority w:val="59"/>
    <w:semiHidden/>
    <w:rsid w:val="00F238C5"/>
    <w:rPr>
      <w:rFonts w:eastAsiaTheme="minorHAnsi" w:cstheme="minorBidi"/>
      <w:i/>
      <w:iCs/>
      <w:color w:val="636363" w:themeColor="text1" w:themeTint="BF"/>
      <w:lang w:eastAsia="en-US"/>
    </w:rPr>
  </w:style>
  <w:style w:type="paragraph" w:styleId="Salutation">
    <w:name w:val="Salutation"/>
    <w:basedOn w:val="Normal"/>
    <w:next w:val="Normal"/>
    <w:link w:val="SalutationChar"/>
    <w:uiPriority w:val="99"/>
    <w:semiHidden/>
    <w:rsid w:val="00F238C5"/>
  </w:style>
  <w:style w:type="character" w:styleId="SalutationChar" w:customStyle="1">
    <w:name w:val="Salutation Char"/>
    <w:basedOn w:val="DefaultParagraphFont"/>
    <w:link w:val="Salutation"/>
    <w:uiPriority w:val="99"/>
    <w:rsid w:val="00F238C5"/>
    <w:rPr>
      <w:rFonts w:eastAsiaTheme="minorHAnsi" w:cstheme="minorBidi"/>
      <w:lang w:eastAsia="en-US"/>
    </w:rPr>
  </w:style>
  <w:style w:type="paragraph" w:styleId="Signature">
    <w:name w:val="Signature"/>
    <w:basedOn w:val="Normal"/>
    <w:link w:val="SignatureChar"/>
    <w:uiPriority w:val="99"/>
    <w:semiHidden/>
    <w:rsid w:val="00F238C5"/>
    <w:pPr>
      <w:ind w:left="4252"/>
    </w:pPr>
  </w:style>
  <w:style w:type="character" w:styleId="SignatureChar" w:customStyle="1">
    <w:name w:val="Signature Char"/>
    <w:basedOn w:val="DefaultParagraphFont"/>
    <w:link w:val="Signature"/>
    <w:uiPriority w:val="99"/>
    <w:semiHidden/>
    <w:rsid w:val="00F238C5"/>
    <w:rPr>
      <w:rFonts w:eastAsiaTheme="minorHAnsi" w:cstheme="minorBidi"/>
      <w:lang w:eastAsia="en-US"/>
    </w:rPr>
  </w:style>
  <w:style w:type="character" w:styleId="SmartHyperlink">
    <w:name w:val="Smart Hyperlink"/>
    <w:basedOn w:val="DefaultParagraphFont"/>
    <w:uiPriority w:val="99"/>
    <w:semiHidden/>
    <w:rsid w:val="00F238C5"/>
    <w:rPr>
      <w:u w:val="dotted"/>
    </w:rPr>
  </w:style>
  <w:style w:type="character" w:styleId="SmartLink">
    <w:name w:val="Smart Link"/>
    <w:basedOn w:val="DefaultParagraphFont"/>
    <w:uiPriority w:val="99"/>
    <w:semiHidden/>
    <w:rsid w:val="00F238C5"/>
    <w:rPr>
      <w:color w:val="0000FF"/>
      <w:u w:val="single"/>
      <w:shd w:val="clear" w:color="auto" w:fill="F3F2F1"/>
    </w:rPr>
  </w:style>
  <w:style w:type="character" w:styleId="Strong">
    <w:name w:val="Strong"/>
    <w:basedOn w:val="DefaultParagraphFont"/>
    <w:uiPriority w:val="59"/>
    <w:semiHidden/>
    <w:qFormat/>
    <w:rsid w:val="00F238C5"/>
    <w:rPr>
      <w:b/>
      <w:bCs/>
    </w:rPr>
  </w:style>
  <w:style w:type="paragraph" w:styleId="Subtitle">
    <w:name w:val="Subtitle"/>
    <w:basedOn w:val="Normal"/>
    <w:next w:val="Normal"/>
    <w:link w:val="SubtitleChar"/>
    <w:uiPriority w:val="59"/>
    <w:semiHidden/>
    <w:qFormat/>
    <w:rsid w:val="00F238C5"/>
    <w:pPr>
      <w:numPr>
        <w:ilvl w:val="1"/>
      </w:numPr>
      <w:spacing w:after="160"/>
    </w:pPr>
    <w:rPr>
      <w:rFonts w:asciiTheme="minorHAnsi" w:hAnsiTheme="minorHAnsi" w:eastAsiaTheme="minorEastAsia"/>
      <w:color w:val="797979" w:themeColor="text1" w:themeTint="A5"/>
      <w:spacing w:val="15"/>
    </w:rPr>
  </w:style>
  <w:style w:type="character" w:styleId="SubtitleChar" w:customStyle="1">
    <w:name w:val="Subtitle Char"/>
    <w:basedOn w:val="DefaultParagraphFont"/>
    <w:link w:val="Subtitle"/>
    <w:uiPriority w:val="59"/>
    <w:semiHidden/>
    <w:rsid w:val="00F238C5"/>
    <w:rPr>
      <w:rFonts w:asciiTheme="minorHAnsi" w:hAnsiTheme="minorHAnsi" w:eastAsiaTheme="minorEastAsia" w:cstheme="minorBidi"/>
      <w:color w:val="797979" w:themeColor="text1" w:themeTint="A5"/>
      <w:spacing w:val="15"/>
      <w:lang w:eastAsia="en-US"/>
    </w:rPr>
  </w:style>
  <w:style w:type="character" w:styleId="SubtleEmphasis">
    <w:name w:val="Subtle Emphasis"/>
    <w:basedOn w:val="DefaultParagraphFont"/>
    <w:uiPriority w:val="59"/>
    <w:semiHidden/>
    <w:qFormat/>
    <w:rsid w:val="00F238C5"/>
    <w:rPr>
      <w:i/>
      <w:iCs/>
      <w:color w:val="636363" w:themeColor="text1" w:themeTint="BF"/>
    </w:rPr>
  </w:style>
  <w:style w:type="character" w:styleId="SubtleReference">
    <w:name w:val="Subtle Reference"/>
    <w:basedOn w:val="DefaultParagraphFont"/>
    <w:uiPriority w:val="59"/>
    <w:semiHidden/>
    <w:qFormat/>
    <w:rsid w:val="00F238C5"/>
    <w:rPr>
      <w:smallCaps/>
      <w:color w:val="797979" w:themeColor="text1" w:themeTint="A5"/>
    </w:rPr>
  </w:style>
  <w:style w:type="table" w:styleId="Table3Deffects1">
    <w:name w:val="Table 3D effects 1"/>
    <w:basedOn w:val="TableNormal"/>
    <w:uiPriority w:val="99"/>
    <w:semiHidden/>
    <w:rsid w:val="00F238C5"/>
    <w:pPr>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rsid w:val="00F238C5"/>
    <w:pPr>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rsid w:val="00F238C5"/>
    <w:pPr>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rsid w:val="00F238C5"/>
    <w:pPr>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rsid w:val="00F238C5"/>
    <w:pPr>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rsid w:val="00F238C5"/>
    <w:pPr>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rsid w:val="00F238C5"/>
    <w:pPr>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rsid w:val="00F238C5"/>
    <w:pPr>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rsid w:val="00F238C5"/>
    <w:pPr>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rsid w:val="00F238C5"/>
    <w:pPr>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rsid w:val="00F238C5"/>
    <w:pPr>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rsid w:val="00F238C5"/>
    <w:pPr>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rsid w:val="00F238C5"/>
    <w:pPr>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rsid w:val="00F238C5"/>
    <w:pPr>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238C5"/>
    <w:pPr>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238C5"/>
    <w:pPr>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rsid w:val="00F238C5"/>
    <w:pPr>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rsid w:val="00F238C5"/>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rsid w:val="00F238C5"/>
    <w:pPr>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rsid w:val="00F238C5"/>
    <w:pPr>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rsid w:val="00F238C5"/>
    <w:pPr>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rsid w:val="00F238C5"/>
    <w:pPr>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rsid w:val="00F238C5"/>
    <w:pPr>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rsid w:val="00F238C5"/>
    <w:pPr>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rsid w:val="00F238C5"/>
    <w:pPr>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F238C5"/>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rsid w:val="00F238C5"/>
    <w:pPr>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rsid w:val="00F238C5"/>
    <w:pPr>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rsid w:val="00F238C5"/>
    <w:pPr>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rsid w:val="00F238C5"/>
    <w:pPr>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rsid w:val="00F238C5"/>
    <w:pPr>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rsid w:val="00F238C5"/>
    <w:pPr>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rsid w:val="00F238C5"/>
    <w:pPr>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rsid w:val="00F238C5"/>
    <w:pPr>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F238C5"/>
    <w:pPr>
      <w:ind w:left="220" w:hanging="220"/>
    </w:pPr>
  </w:style>
  <w:style w:type="paragraph" w:styleId="TableofFigures">
    <w:name w:val="table of figures"/>
    <w:basedOn w:val="Normal"/>
    <w:next w:val="Normal"/>
    <w:uiPriority w:val="99"/>
    <w:semiHidden/>
    <w:rsid w:val="00F238C5"/>
  </w:style>
  <w:style w:type="table" w:styleId="TableProfessional">
    <w:name w:val="Table Professional"/>
    <w:basedOn w:val="TableNormal"/>
    <w:uiPriority w:val="99"/>
    <w:semiHidden/>
    <w:rsid w:val="00F238C5"/>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rsid w:val="00F238C5"/>
    <w:pPr>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rsid w:val="00F238C5"/>
    <w:pPr>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rsid w:val="00F238C5"/>
    <w:pPr>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rsid w:val="00F238C5"/>
    <w:pPr>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rsid w:val="00F238C5"/>
    <w:pPr>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rsid w:val="00F238C5"/>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rsid w:val="00F238C5"/>
    <w:pPr>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rsid w:val="00F238C5"/>
    <w:pPr>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rsid w:val="00F238C5"/>
    <w:pPr>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59"/>
    <w:semiHidden/>
    <w:qFormat/>
    <w:rsid w:val="00F238C5"/>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59"/>
    <w:semiHidden/>
    <w:rsid w:val="00F238C5"/>
    <w:rPr>
      <w:rFonts w:asciiTheme="majorHAnsi" w:hAnsiTheme="majorHAnsi" w:eastAsiaTheme="majorEastAsia" w:cstheme="majorBidi"/>
      <w:spacing w:val="-10"/>
      <w:kern w:val="28"/>
      <w:sz w:val="56"/>
      <w:szCs w:val="56"/>
      <w:lang w:eastAsia="en-US"/>
    </w:rPr>
  </w:style>
  <w:style w:type="paragraph" w:styleId="TOAHeading">
    <w:name w:val="toa heading"/>
    <w:basedOn w:val="Normal"/>
    <w:next w:val="Normal"/>
    <w:uiPriority w:val="99"/>
    <w:semiHidden/>
    <w:rsid w:val="00F238C5"/>
    <w:pPr>
      <w:spacing w:before="120"/>
    </w:pPr>
    <w:rPr>
      <w:rFonts w:asciiTheme="majorHAnsi" w:hAnsiTheme="majorHAnsi" w:eastAsiaTheme="majorEastAsia" w:cstheme="majorBidi"/>
      <w:b/>
      <w:bCs/>
      <w:sz w:val="24"/>
      <w:szCs w:val="24"/>
    </w:rPr>
  </w:style>
  <w:style w:type="paragraph" w:styleId="TOC6">
    <w:name w:val="toc 6"/>
    <w:basedOn w:val="Normal"/>
    <w:next w:val="Normal"/>
    <w:autoRedefine/>
    <w:uiPriority w:val="39"/>
    <w:semiHidden/>
    <w:rsid w:val="00F238C5"/>
    <w:pPr>
      <w:spacing w:after="100"/>
      <w:ind w:left="1100"/>
    </w:pPr>
  </w:style>
  <w:style w:type="paragraph" w:styleId="TOC7">
    <w:name w:val="toc 7"/>
    <w:basedOn w:val="Normal"/>
    <w:next w:val="Normal"/>
    <w:autoRedefine/>
    <w:uiPriority w:val="39"/>
    <w:semiHidden/>
    <w:rsid w:val="00F238C5"/>
    <w:pPr>
      <w:spacing w:after="100"/>
      <w:ind w:left="1320"/>
    </w:pPr>
  </w:style>
  <w:style w:type="paragraph" w:styleId="TOC8">
    <w:name w:val="toc 8"/>
    <w:basedOn w:val="Normal"/>
    <w:next w:val="Normal"/>
    <w:autoRedefine/>
    <w:uiPriority w:val="39"/>
    <w:semiHidden/>
    <w:rsid w:val="00F238C5"/>
    <w:pPr>
      <w:spacing w:after="100"/>
      <w:ind w:left="1540"/>
    </w:pPr>
  </w:style>
  <w:style w:type="paragraph" w:styleId="TOC9">
    <w:name w:val="toc 9"/>
    <w:basedOn w:val="Normal"/>
    <w:next w:val="Normal"/>
    <w:autoRedefine/>
    <w:uiPriority w:val="39"/>
    <w:semiHidden/>
    <w:rsid w:val="00F238C5"/>
    <w:pPr>
      <w:spacing w:after="100"/>
      <w:ind w:left="1760"/>
    </w:pPr>
  </w:style>
  <w:style w:type="paragraph" w:styleId="TOCHeading">
    <w:name w:val="TOC Heading"/>
    <w:basedOn w:val="Heading1"/>
    <w:next w:val="Normal"/>
    <w:uiPriority w:val="59"/>
    <w:semiHidden/>
    <w:qFormat/>
    <w:rsid w:val="00F238C5"/>
    <w:pPr>
      <w:numPr>
        <w:ilvl w:val="0"/>
        <w:numId w:val="0"/>
      </w:numPr>
      <w:spacing w:before="240" w:after="0"/>
      <w:outlineLvl w:val="9"/>
    </w:pPr>
    <w:rPr>
      <w:rFonts w:asciiTheme="majorHAnsi" w:hAnsiTheme="majorHAnsi" w:eastAsiaTheme="majorEastAsia" w:cstheme="majorBidi"/>
      <w:b w:val="0"/>
      <w:bCs w:val="0"/>
      <w:color w:val="3CD493" w:themeColor="accent1" w:themeShade="BF"/>
      <w:kern w:val="0"/>
      <w:sz w:val="32"/>
      <w:szCs w:val="32"/>
      <w:u w:val="none"/>
      <w:lang w:eastAsia="en-US"/>
    </w:rPr>
  </w:style>
  <w:style w:type="character" w:styleId="UnresolvedMention">
    <w:name w:val="Unresolved Mention"/>
    <w:basedOn w:val="DefaultParagraphFont"/>
    <w:uiPriority w:val="99"/>
    <w:semiHidden/>
    <w:rsid w:val="00F238C5"/>
    <w:rPr>
      <w:color w:val="605E5C"/>
      <w:shd w:val="clear" w:color="auto" w:fill="E1DFDD"/>
    </w:rPr>
  </w:style>
  <w:style w:type="paragraph" w:styleId="Level1" w:customStyle="1">
    <w:name w:val="Level 1"/>
    <w:basedOn w:val="Normal"/>
    <w:qFormat/>
    <w:rsid w:val="00763112"/>
    <w:pPr>
      <w:numPr>
        <w:numId w:val="74"/>
      </w:numPr>
      <w:spacing w:after="240"/>
      <w:outlineLvl w:val="0"/>
    </w:pPr>
    <w:rPr>
      <w:rFonts w:ascii="Verdana" w:hAnsi="Verdana" w:eastAsia="MS Mincho" w:cs="Times New Roman"/>
      <w:sz w:val="20"/>
      <w:szCs w:val="20"/>
      <w:lang w:eastAsia="en-GB"/>
    </w:rPr>
  </w:style>
  <w:style w:type="paragraph" w:styleId="Level2" w:customStyle="1">
    <w:name w:val="Level 2"/>
    <w:basedOn w:val="Normal"/>
    <w:qFormat/>
    <w:rsid w:val="00763112"/>
    <w:pPr>
      <w:numPr>
        <w:ilvl w:val="1"/>
        <w:numId w:val="74"/>
      </w:numPr>
      <w:spacing w:after="240"/>
      <w:outlineLvl w:val="1"/>
    </w:pPr>
    <w:rPr>
      <w:rFonts w:ascii="Verdana" w:hAnsi="Verdana" w:eastAsia="MS Mincho" w:cs="Times New Roman"/>
      <w:sz w:val="20"/>
      <w:szCs w:val="20"/>
      <w:lang w:eastAsia="en-GB"/>
    </w:rPr>
  </w:style>
  <w:style w:type="paragraph" w:styleId="Level3" w:customStyle="1">
    <w:name w:val="Level 3"/>
    <w:basedOn w:val="Normal"/>
    <w:qFormat/>
    <w:rsid w:val="00763112"/>
    <w:pPr>
      <w:numPr>
        <w:ilvl w:val="2"/>
        <w:numId w:val="74"/>
      </w:numPr>
      <w:spacing w:after="240"/>
      <w:outlineLvl w:val="2"/>
    </w:pPr>
    <w:rPr>
      <w:rFonts w:ascii="Verdana" w:hAnsi="Verdana" w:eastAsia="MS Mincho" w:cs="Times New Roman"/>
      <w:sz w:val="20"/>
      <w:szCs w:val="20"/>
      <w:lang w:eastAsia="en-GB"/>
    </w:rPr>
  </w:style>
  <w:style w:type="paragraph" w:styleId="Level5" w:customStyle="1">
    <w:name w:val="Level 5"/>
    <w:basedOn w:val="Normal"/>
    <w:qFormat/>
    <w:rsid w:val="00763112"/>
    <w:pPr>
      <w:numPr>
        <w:ilvl w:val="4"/>
        <w:numId w:val="74"/>
      </w:numPr>
      <w:spacing w:after="240"/>
      <w:outlineLvl w:val="4"/>
    </w:pPr>
    <w:rPr>
      <w:rFonts w:ascii="Verdana" w:hAnsi="Verdana" w:eastAsia="MS Mincho" w:cs="Times New Roman"/>
      <w:sz w:val="20"/>
      <w:szCs w:val="20"/>
      <w:lang w:eastAsia="en-GB"/>
    </w:rPr>
  </w:style>
  <w:style w:type="paragraph" w:styleId="Level4" w:customStyle="1">
    <w:name w:val="Level 4"/>
    <w:basedOn w:val="Normal"/>
    <w:qFormat/>
    <w:rsid w:val="00763112"/>
    <w:pPr>
      <w:numPr>
        <w:ilvl w:val="3"/>
        <w:numId w:val="74"/>
      </w:numPr>
      <w:spacing w:after="240"/>
      <w:outlineLvl w:val="3"/>
    </w:pPr>
    <w:rPr>
      <w:rFonts w:ascii="Verdana" w:hAnsi="Verdana" w:eastAsia="MS Mincho" w:cs="Times New Roman"/>
      <w:sz w:val="20"/>
      <w:szCs w:val="20"/>
      <w:lang w:eastAsia="en-GB"/>
    </w:rPr>
  </w:style>
  <w:style w:type="paragraph" w:styleId="Revision">
    <w:name w:val="Revision"/>
    <w:hidden/>
    <w:uiPriority w:val="99"/>
    <w:semiHidden/>
    <w:rsid w:val="00B12E1C"/>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7710">
      <w:bodyDiv w:val="1"/>
      <w:marLeft w:val="0"/>
      <w:marRight w:val="0"/>
      <w:marTop w:val="0"/>
      <w:marBottom w:val="0"/>
      <w:divBdr>
        <w:top w:val="none" w:sz="0" w:space="0" w:color="auto"/>
        <w:left w:val="none" w:sz="0" w:space="0" w:color="auto"/>
        <w:bottom w:val="none" w:sz="0" w:space="0" w:color="auto"/>
        <w:right w:val="none" w:sz="0" w:space="0" w:color="auto"/>
      </w:divBdr>
    </w:div>
    <w:div w:id="49497537">
      <w:bodyDiv w:val="1"/>
      <w:marLeft w:val="0"/>
      <w:marRight w:val="0"/>
      <w:marTop w:val="0"/>
      <w:marBottom w:val="0"/>
      <w:divBdr>
        <w:top w:val="none" w:sz="0" w:space="0" w:color="auto"/>
        <w:left w:val="none" w:sz="0" w:space="0" w:color="auto"/>
        <w:bottom w:val="none" w:sz="0" w:space="0" w:color="auto"/>
        <w:right w:val="none" w:sz="0" w:space="0" w:color="auto"/>
      </w:divBdr>
    </w:div>
    <w:div w:id="76875893">
      <w:bodyDiv w:val="1"/>
      <w:marLeft w:val="0"/>
      <w:marRight w:val="0"/>
      <w:marTop w:val="0"/>
      <w:marBottom w:val="0"/>
      <w:divBdr>
        <w:top w:val="none" w:sz="0" w:space="0" w:color="auto"/>
        <w:left w:val="none" w:sz="0" w:space="0" w:color="auto"/>
        <w:bottom w:val="none" w:sz="0" w:space="0" w:color="auto"/>
        <w:right w:val="none" w:sz="0" w:space="0" w:color="auto"/>
      </w:divBdr>
    </w:div>
    <w:div w:id="96292934">
      <w:bodyDiv w:val="1"/>
      <w:marLeft w:val="0"/>
      <w:marRight w:val="0"/>
      <w:marTop w:val="0"/>
      <w:marBottom w:val="0"/>
      <w:divBdr>
        <w:top w:val="none" w:sz="0" w:space="0" w:color="auto"/>
        <w:left w:val="none" w:sz="0" w:space="0" w:color="auto"/>
        <w:bottom w:val="none" w:sz="0" w:space="0" w:color="auto"/>
        <w:right w:val="none" w:sz="0" w:space="0" w:color="auto"/>
      </w:divBdr>
    </w:div>
    <w:div w:id="104081547">
      <w:bodyDiv w:val="1"/>
      <w:marLeft w:val="0"/>
      <w:marRight w:val="0"/>
      <w:marTop w:val="0"/>
      <w:marBottom w:val="0"/>
      <w:divBdr>
        <w:top w:val="none" w:sz="0" w:space="0" w:color="auto"/>
        <w:left w:val="none" w:sz="0" w:space="0" w:color="auto"/>
        <w:bottom w:val="none" w:sz="0" w:space="0" w:color="auto"/>
        <w:right w:val="none" w:sz="0" w:space="0" w:color="auto"/>
      </w:divBdr>
    </w:div>
    <w:div w:id="114906823">
      <w:bodyDiv w:val="1"/>
      <w:marLeft w:val="0"/>
      <w:marRight w:val="0"/>
      <w:marTop w:val="0"/>
      <w:marBottom w:val="0"/>
      <w:divBdr>
        <w:top w:val="none" w:sz="0" w:space="0" w:color="auto"/>
        <w:left w:val="none" w:sz="0" w:space="0" w:color="auto"/>
        <w:bottom w:val="none" w:sz="0" w:space="0" w:color="auto"/>
        <w:right w:val="none" w:sz="0" w:space="0" w:color="auto"/>
      </w:divBdr>
    </w:div>
    <w:div w:id="121652269">
      <w:bodyDiv w:val="1"/>
      <w:marLeft w:val="0"/>
      <w:marRight w:val="0"/>
      <w:marTop w:val="0"/>
      <w:marBottom w:val="0"/>
      <w:divBdr>
        <w:top w:val="none" w:sz="0" w:space="0" w:color="auto"/>
        <w:left w:val="none" w:sz="0" w:space="0" w:color="auto"/>
        <w:bottom w:val="none" w:sz="0" w:space="0" w:color="auto"/>
        <w:right w:val="none" w:sz="0" w:space="0" w:color="auto"/>
      </w:divBdr>
    </w:div>
    <w:div w:id="131796963">
      <w:bodyDiv w:val="1"/>
      <w:marLeft w:val="0"/>
      <w:marRight w:val="0"/>
      <w:marTop w:val="0"/>
      <w:marBottom w:val="0"/>
      <w:divBdr>
        <w:top w:val="none" w:sz="0" w:space="0" w:color="auto"/>
        <w:left w:val="none" w:sz="0" w:space="0" w:color="auto"/>
        <w:bottom w:val="none" w:sz="0" w:space="0" w:color="auto"/>
        <w:right w:val="none" w:sz="0" w:space="0" w:color="auto"/>
      </w:divBdr>
    </w:div>
    <w:div w:id="201795670">
      <w:bodyDiv w:val="1"/>
      <w:marLeft w:val="0"/>
      <w:marRight w:val="0"/>
      <w:marTop w:val="0"/>
      <w:marBottom w:val="0"/>
      <w:divBdr>
        <w:top w:val="none" w:sz="0" w:space="0" w:color="auto"/>
        <w:left w:val="none" w:sz="0" w:space="0" w:color="auto"/>
        <w:bottom w:val="none" w:sz="0" w:space="0" w:color="auto"/>
        <w:right w:val="none" w:sz="0" w:space="0" w:color="auto"/>
      </w:divBdr>
    </w:div>
    <w:div w:id="203635161">
      <w:bodyDiv w:val="1"/>
      <w:marLeft w:val="0"/>
      <w:marRight w:val="0"/>
      <w:marTop w:val="0"/>
      <w:marBottom w:val="0"/>
      <w:divBdr>
        <w:top w:val="none" w:sz="0" w:space="0" w:color="auto"/>
        <w:left w:val="none" w:sz="0" w:space="0" w:color="auto"/>
        <w:bottom w:val="none" w:sz="0" w:space="0" w:color="auto"/>
        <w:right w:val="none" w:sz="0" w:space="0" w:color="auto"/>
      </w:divBdr>
    </w:div>
    <w:div w:id="208959469">
      <w:bodyDiv w:val="1"/>
      <w:marLeft w:val="0"/>
      <w:marRight w:val="0"/>
      <w:marTop w:val="0"/>
      <w:marBottom w:val="0"/>
      <w:divBdr>
        <w:top w:val="none" w:sz="0" w:space="0" w:color="auto"/>
        <w:left w:val="none" w:sz="0" w:space="0" w:color="auto"/>
        <w:bottom w:val="none" w:sz="0" w:space="0" w:color="auto"/>
        <w:right w:val="none" w:sz="0" w:space="0" w:color="auto"/>
      </w:divBdr>
    </w:div>
    <w:div w:id="230702092">
      <w:bodyDiv w:val="1"/>
      <w:marLeft w:val="0"/>
      <w:marRight w:val="0"/>
      <w:marTop w:val="0"/>
      <w:marBottom w:val="0"/>
      <w:divBdr>
        <w:top w:val="none" w:sz="0" w:space="0" w:color="auto"/>
        <w:left w:val="none" w:sz="0" w:space="0" w:color="auto"/>
        <w:bottom w:val="none" w:sz="0" w:space="0" w:color="auto"/>
        <w:right w:val="none" w:sz="0" w:space="0" w:color="auto"/>
      </w:divBdr>
    </w:div>
    <w:div w:id="287704118">
      <w:bodyDiv w:val="1"/>
      <w:marLeft w:val="0"/>
      <w:marRight w:val="0"/>
      <w:marTop w:val="0"/>
      <w:marBottom w:val="0"/>
      <w:divBdr>
        <w:top w:val="none" w:sz="0" w:space="0" w:color="auto"/>
        <w:left w:val="none" w:sz="0" w:space="0" w:color="auto"/>
        <w:bottom w:val="none" w:sz="0" w:space="0" w:color="auto"/>
        <w:right w:val="none" w:sz="0" w:space="0" w:color="auto"/>
      </w:divBdr>
    </w:div>
    <w:div w:id="365297978">
      <w:bodyDiv w:val="1"/>
      <w:marLeft w:val="0"/>
      <w:marRight w:val="0"/>
      <w:marTop w:val="0"/>
      <w:marBottom w:val="0"/>
      <w:divBdr>
        <w:top w:val="none" w:sz="0" w:space="0" w:color="auto"/>
        <w:left w:val="none" w:sz="0" w:space="0" w:color="auto"/>
        <w:bottom w:val="none" w:sz="0" w:space="0" w:color="auto"/>
        <w:right w:val="none" w:sz="0" w:space="0" w:color="auto"/>
      </w:divBdr>
    </w:div>
    <w:div w:id="478037132">
      <w:bodyDiv w:val="1"/>
      <w:marLeft w:val="0"/>
      <w:marRight w:val="0"/>
      <w:marTop w:val="0"/>
      <w:marBottom w:val="0"/>
      <w:divBdr>
        <w:top w:val="none" w:sz="0" w:space="0" w:color="auto"/>
        <w:left w:val="none" w:sz="0" w:space="0" w:color="auto"/>
        <w:bottom w:val="none" w:sz="0" w:space="0" w:color="auto"/>
        <w:right w:val="none" w:sz="0" w:space="0" w:color="auto"/>
      </w:divBdr>
    </w:div>
    <w:div w:id="607543945">
      <w:bodyDiv w:val="1"/>
      <w:marLeft w:val="0"/>
      <w:marRight w:val="0"/>
      <w:marTop w:val="0"/>
      <w:marBottom w:val="0"/>
      <w:divBdr>
        <w:top w:val="none" w:sz="0" w:space="0" w:color="auto"/>
        <w:left w:val="none" w:sz="0" w:space="0" w:color="auto"/>
        <w:bottom w:val="none" w:sz="0" w:space="0" w:color="auto"/>
        <w:right w:val="none" w:sz="0" w:space="0" w:color="auto"/>
      </w:divBdr>
    </w:div>
    <w:div w:id="628240939">
      <w:bodyDiv w:val="1"/>
      <w:marLeft w:val="0"/>
      <w:marRight w:val="0"/>
      <w:marTop w:val="0"/>
      <w:marBottom w:val="0"/>
      <w:divBdr>
        <w:top w:val="none" w:sz="0" w:space="0" w:color="auto"/>
        <w:left w:val="none" w:sz="0" w:space="0" w:color="auto"/>
        <w:bottom w:val="none" w:sz="0" w:space="0" w:color="auto"/>
        <w:right w:val="none" w:sz="0" w:space="0" w:color="auto"/>
      </w:divBdr>
    </w:div>
    <w:div w:id="676660302">
      <w:bodyDiv w:val="1"/>
      <w:marLeft w:val="0"/>
      <w:marRight w:val="0"/>
      <w:marTop w:val="0"/>
      <w:marBottom w:val="0"/>
      <w:divBdr>
        <w:top w:val="none" w:sz="0" w:space="0" w:color="auto"/>
        <w:left w:val="none" w:sz="0" w:space="0" w:color="auto"/>
        <w:bottom w:val="none" w:sz="0" w:space="0" w:color="auto"/>
        <w:right w:val="none" w:sz="0" w:space="0" w:color="auto"/>
      </w:divBdr>
    </w:div>
    <w:div w:id="697464310">
      <w:bodyDiv w:val="1"/>
      <w:marLeft w:val="0"/>
      <w:marRight w:val="0"/>
      <w:marTop w:val="0"/>
      <w:marBottom w:val="0"/>
      <w:divBdr>
        <w:top w:val="none" w:sz="0" w:space="0" w:color="auto"/>
        <w:left w:val="none" w:sz="0" w:space="0" w:color="auto"/>
        <w:bottom w:val="none" w:sz="0" w:space="0" w:color="auto"/>
        <w:right w:val="none" w:sz="0" w:space="0" w:color="auto"/>
      </w:divBdr>
    </w:div>
    <w:div w:id="790124928">
      <w:bodyDiv w:val="1"/>
      <w:marLeft w:val="0"/>
      <w:marRight w:val="0"/>
      <w:marTop w:val="0"/>
      <w:marBottom w:val="0"/>
      <w:divBdr>
        <w:top w:val="none" w:sz="0" w:space="0" w:color="auto"/>
        <w:left w:val="none" w:sz="0" w:space="0" w:color="auto"/>
        <w:bottom w:val="none" w:sz="0" w:space="0" w:color="auto"/>
        <w:right w:val="none" w:sz="0" w:space="0" w:color="auto"/>
      </w:divBdr>
    </w:div>
    <w:div w:id="804008040">
      <w:bodyDiv w:val="1"/>
      <w:marLeft w:val="0"/>
      <w:marRight w:val="0"/>
      <w:marTop w:val="0"/>
      <w:marBottom w:val="0"/>
      <w:divBdr>
        <w:top w:val="none" w:sz="0" w:space="0" w:color="auto"/>
        <w:left w:val="none" w:sz="0" w:space="0" w:color="auto"/>
        <w:bottom w:val="none" w:sz="0" w:space="0" w:color="auto"/>
        <w:right w:val="none" w:sz="0" w:space="0" w:color="auto"/>
      </w:divBdr>
    </w:div>
    <w:div w:id="838468717">
      <w:bodyDiv w:val="1"/>
      <w:marLeft w:val="0"/>
      <w:marRight w:val="0"/>
      <w:marTop w:val="0"/>
      <w:marBottom w:val="0"/>
      <w:divBdr>
        <w:top w:val="none" w:sz="0" w:space="0" w:color="auto"/>
        <w:left w:val="none" w:sz="0" w:space="0" w:color="auto"/>
        <w:bottom w:val="none" w:sz="0" w:space="0" w:color="auto"/>
        <w:right w:val="none" w:sz="0" w:space="0" w:color="auto"/>
      </w:divBdr>
    </w:div>
    <w:div w:id="865098997">
      <w:bodyDiv w:val="1"/>
      <w:marLeft w:val="0"/>
      <w:marRight w:val="0"/>
      <w:marTop w:val="0"/>
      <w:marBottom w:val="0"/>
      <w:divBdr>
        <w:top w:val="none" w:sz="0" w:space="0" w:color="auto"/>
        <w:left w:val="none" w:sz="0" w:space="0" w:color="auto"/>
        <w:bottom w:val="none" w:sz="0" w:space="0" w:color="auto"/>
        <w:right w:val="none" w:sz="0" w:space="0" w:color="auto"/>
      </w:divBdr>
    </w:div>
    <w:div w:id="929002410">
      <w:bodyDiv w:val="1"/>
      <w:marLeft w:val="0"/>
      <w:marRight w:val="0"/>
      <w:marTop w:val="0"/>
      <w:marBottom w:val="0"/>
      <w:divBdr>
        <w:top w:val="none" w:sz="0" w:space="0" w:color="auto"/>
        <w:left w:val="none" w:sz="0" w:space="0" w:color="auto"/>
        <w:bottom w:val="none" w:sz="0" w:space="0" w:color="auto"/>
        <w:right w:val="none" w:sz="0" w:space="0" w:color="auto"/>
      </w:divBdr>
    </w:div>
    <w:div w:id="1105273497">
      <w:bodyDiv w:val="1"/>
      <w:marLeft w:val="0"/>
      <w:marRight w:val="0"/>
      <w:marTop w:val="0"/>
      <w:marBottom w:val="0"/>
      <w:divBdr>
        <w:top w:val="none" w:sz="0" w:space="0" w:color="auto"/>
        <w:left w:val="none" w:sz="0" w:space="0" w:color="auto"/>
        <w:bottom w:val="none" w:sz="0" w:space="0" w:color="auto"/>
        <w:right w:val="none" w:sz="0" w:space="0" w:color="auto"/>
      </w:divBdr>
    </w:div>
    <w:div w:id="1109472248">
      <w:bodyDiv w:val="1"/>
      <w:marLeft w:val="0"/>
      <w:marRight w:val="0"/>
      <w:marTop w:val="0"/>
      <w:marBottom w:val="0"/>
      <w:divBdr>
        <w:top w:val="none" w:sz="0" w:space="0" w:color="auto"/>
        <w:left w:val="none" w:sz="0" w:space="0" w:color="auto"/>
        <w:bottom w:val="none" w:sz="0" w:space="0" w:color="auto"/>
        <w:right w:val="none" w:sz="0" w:space="0" w:color="auto"/>
      </w:divBdr>
    </w:div>
    <w:div w:id="1221676463">
      <w:bodyDiv w:val="1"/>
      <w:marLeft w:val="0"/>
      <w:marRight w:val="0"/>
      <w:marTop w:val="0"/>
      <w:marBottom w:val="0"/>
      <w:divBdr>
        <w:top w:val="none" w:sz="0" w:space="0" w:color="auto"/>
        <w:left w:val="none" w:sz="0" w:space="0" w:color="auto"/>
        <w:bottom w:val="none" w:sz="0" w:space="0" w:color="auto"/>
        <w:right w:val="none" w:sz="0" w:space="0" w:color="auto"/>
      </w:divBdr>
    </w:div>
    <w:div w:id="1229002342">
      <w:bodyDiv w:val="1"/>
      <w:marLeft w:val="0"/>
      <w:marRight w:val="0"/>
      <w:marTop w:val="0"/>
      <w:marBottom w:val="0"/>
      <w:divBdr>
        <w:top w:val="none" w:sz="0" w:space="0" w:color="auto"/>
        <w:left w:val="none" w:sz="0" w:space="0" w:color="auto"/>
        <w:bottom w:val="none" w:sz="0" w:space="0" w:color="auto"/>
        <w:right w:val="none" w:sz="0" w:space="0" w:color="auto"/>
      </w:divBdr>
    </w:div>
    <w:div w:id="1230723643">
      <w:bodyDiv w:val="1"/>
      <w:marLeft w:val="0"/>
      <w:marRight w:val="0"/>
      <w:marTop w:val="0"/>
      <w:marBottom w:val="0"/>
      <w:divBdr>
        <w:top w:val="none" w:sz="0" w:space="0" w:color="auto"/>
        <w:left w:val="none" w:sz="0" w:space="0" w:color="auto"/>
        <w:bottom w:val="none" w:sz="0" w:space="0" w:color="auto"/>
        <w:right w:val="none" w:sz="0" w:space="0" w:color="auto"/>
      </w:divBdr>
    </w:div>
    <w:div w:id="1260142960">
      <w:bodyDiv w:val="1"/>
      <w:marLeft w:val="0"/>
      <w:marRight w:val="0"/>
      <w:marTop w:val="0"/>
      <w:marBottom w:val="0"/>
      <w:divBdr>
        <w:top w:val="none" w:sz="0" w:space="0" w:color="auto"/>
        <w:left w:val="none" w:sz="0" w:space="0" w:color="auto"/>
        <w:bottom w:val="none" w:sz="0" w:space="0" w:color="auto"/>
        <w:right w:val="none" w:sz="0" w:space="0" w:color="auto"/>
      </w:divBdr>
    </w:div>
    <w:div w:id="1312556802">
      <w:bodyDiv w:val="1"/>
      <w:marLeft w:val="0"/>
      <w:marRight w:val="0"/>
      <w:marTop w:val="0"/>
      <w:marBottom w:val="0"/>
      <w:divBdr>
        <w:top w:val="none" w:sz="0" w:space="0" w:color="auto"/>
        <w:left w:val="none" w:sz="0" w:space="0" w:color="auto"/>
        <w:bottom w:val="none" w:sz="0" w:space="0" w:color="auto"/>
        <w:right w:val="none" w:sz="0" w:space="0" w:color="auto"/>
      </w:divBdr>
    </w:div>
    <w:div w:id="1318919881">
      <w:bodyDiv w:val="1"/>
      <w:marLeft w:val="0"/>
      <w:marRight w:val="0"/>
      <w:marTop w:val="0"/>
      <w:marBottom w:val="0"/>
      <w:divBdr>
        <w:top w:val="none" w:sz="0" w:space="0" w:color="auto"/>
        <w:left w:val="none" w:sz="0" w:space="0" w:color="auto"/>
        <w:bottom w:val="none" w:sz="0" w:space="0" w:color="auto"/>
        <w:right w:val="none" w:sz="0" w:space="0" w:color="auto"/>
      </w:divBdr>
    </w:div>
    <w:div w:id="1350184525">
      <w:bodyDiv w:val="1"/>
      <w:marLeft w:val="0"/>
      <w:marRight w:val="0"/>
      <w:marTop w:val="0"/>
      <w:marBottom w:val="0"/>
      <w:divBdr>
        <w:top w:val="none" w:sz="0" w:space="0" w:color="auto"/>
        <w:left w:val="none" w:sz="0" w:space="0" w:color="auto"/>
        <w:bottom w:val="none" w:sz="0" w:space="0" w:color="auto"/>
        <w:right w:val="none" w:sz="0" w:space="0" w:color="auto"/>
      </w:divBdr>
    </w:div>
    <w:div w:id="1383406173">
      <w:bodyDiv w:val="1"/>
      <w:marLeft w:val="0"/>
      <w:marRight w:val="0"/>
      <w:marTop w:val="0"/>
      <w:marBottom w:val="0"/>
      <w:divBdr>
        <w:top w:val="none" w:sz="0" w:space="0" w:color="auto"/>
        <w:left w:val="none" w:sz="0" w:space="0" w:color="auto"/>
        <w:bottom w:val="none" w:sz="0" w:space="0" w:color="auto"/>
        <w:right w:val="none" w:sz="0" w:space="0" w:color="auto"/>
      </w:divBdr>
    </w:div>
    <w:div w:id="1392969062">
      <w:bodyDiv w:val="1"/>
      <w:marLeft w:val="0"/>
      <w:marRight w:val="0"/>
      <w:marTop w:val="0"/>
      <w:marBottom w:val="0"/>
      <w:divBdr>
        <w:top w:val="none" w:sz="0" w:space="0" w:color="auto"/>
        <w:left w:val="none" w:sz="0" w:space="0" w:color="auto"/>
        <w:bottom w:val="none" w:sz="0" w:space="0" w:color="auto"/>
        <w:right w:val="none" w:sz="0" w:space="0" w:color="auto"/>
      </w:divBdr>
    </w:div>
    <w:div w:id="1401638766">
      <w:bodyDiv w:val="1"/>
      <w:marLeft w:val="0"/>
      <w:marRight w:val="0"/>
      <w:marTop w:val="0"/>
      <w:marBottom w:val="0"/>
      <w:divBdr>
        <w:top w:val="none" w:sz="0" w:space="0" w:color="auto"/>
        <w:left w:val="none" w:sz="0" w:space="0" w:color="auto"/>
        <w:bottom w:val="none" w:sz="0" w:space="0" w:color="auto"/>
        <w:right w:val="none" w:sz="0" w:space="0" w:color="auto"/>
      </w:divBdr>
    </w:div>
    <w:div w:id="1405451478">
      <w:bodyDiv w:val="1"/>
      <w:marLeft w:val="0"/>
      <w:marRight w:val="0"/>
      <w:marTop w:val="0"/>
      <w:marBottom w:val="0"/>
      <w:divBdr>
        <w:top w:val="none" w:sz="0" w:space="0" w:color="auto"/>
        <w:left w:val="none" w:sz="0" w:space="0" w:color="auto"/>
        <w:bottom w:val="none" w:sz="0" w:space="0" w:color="auto"/>
        <w:right w:val="none" w:sz="0" w:space="0" w:color="auto"/>
      </w:divBdr>
    </w:div>
    <w:div w:id="1539925932">
      <w:bodyDiv w:val="1"/>
      <w:marLeft w:val="0"/>
      <w:marRight w:val="0"/>
      <w:marTop w:val="0"/>
      <w:marBottom w:val="0"/>
      <w:divBdr>
        <w:top w:val="none" w:sz="0" w:space="0" w:color="auto"/>
        <w:left w:val="none" w:sz="0" w:space="0" w:color="auto"/>
        <w:bottom w:val="none" w:sz="0" w:space="0" w:color="auto"/>
        <w:right w:val="none" w:sz="0" w:space="0" w:color="auto"/>
      </w:divBdr>
    </w:div>
    <w:div w:id="1540706135">
      <w:bodyDiv w:val="1"/>
      <w:marLeft w:val="0"/>
      <w:marRight w:val="0"/>
      <w:marTop w:val="0"/>
      <w:marBottom w:val="0"/>
      <w:divBdr>
        <w:top w:val="none" w:sz="0" w:space="0" w:color="auto"/>
        <w:left w:val="none" w:sz="0" w:space="0" w:color="auto"/>
        <w:bottom w:val="none" w:sz="0" w:space="0" w:color="auto"/>
        <w:right w:val="none" w:sz="0" w:space="0" w:color="auto"/>
      </w:divBdr>
    </w:div>
    <w:div w:id="1569996811">
      <w:bodyDiv w:val="1"/>
      <w:marLeft w:val="0"/>
      <w:marRight w:val="0"/>
      <w:marTop w:val="0"/>
      <w:marBottom w:val="0"/>
      <w:divBdr>
        <w:top w:val="none" w:sz="0" w:space="0" w:color="auto"/>
        <w:left w:val="none" w:sz="0" w:space="0" w:color="auto"/>
        <w:bottom w:val="none" w:sz="0" w:space="0" w:color="auto"/>
        <w:right w:val="none" w:sz="0" w:space="0" w:color="auto"/>
      </w:divBdr>
    </w:div>
    <w:div w:id="1718504968">
      <w:bodyDiv w:val="1"/>
      <w:marLeft w:val="0"/>
      <w:marRight w:val="0"/>
      <w:marTop w:val="0"/>
      <w:marBottom w:val="0"/>
      <w:divBdr>
        <w:top w:val="none" w:sz="0" w:space="0" w:color="auto"/>
        <w:left w:val="none" w:sz="0" w:space="0" w:color="auto"/>
        <w:bottom w:val="none" w:sz="0" w:space="0" w:color="auto"/>
        <w:right w:val="none" w:sz="0" w:space="0" w:color="auto"/>
      </w:divBdr>
    </w:div>
    <w:div w:id="1810702237">
      <w:bodyDiv w:val="1"/>
      <w:marLeft w:val="0"/>
      <w:marRight w:val="0"/>
      <w:marTop w:val="0"/>
      <w:marBottom w:val="0"/>
      <w:divBdr>
        <w:top w:val="none" w:sz="0" w:space="0" w:color="auto"/>
        <w:left w:val="none" w:sz="0" w:space="0" w:color="auto"/>
        <w:bottom w:val="none" w:sz="0" w:space="0" w:color="auto"/>
        <w:right w:val="none" w:sz="0" w:space="0" w:color="auto"/>
      </w:divBdr>
    </w:div>
    <w:div w:id="1855727981">
      <w:bodyDiv w:val="1"/>
      <w:marLeft w:val="0"/>
      <w:marRight w:val="0"/>
      <w:marTop w:val="0"/>
      <w:marBottom w:val="0"/>
      <w:divBdr>
        <w:top w:val="none" w:sz="0" w:space="0" w:color="auto"/>
        <w:left w:val="none" w:sz="0" w:space="0" w:color="auto"/>
        <w:bottom w:val="none" w:sz="0" w:space="0" w:color="auto"/>
        <w:right w:val="none" w:sz="0" w:space="0" w:color="auto"/>
      </w:divBdr>
    </w:div>
    <w:div w:id="1879076011">
      <w:bodyDiv w:val="1"/>
      <w:marLeft w:val="0"/>
      <w:marRight w:val="0"/>
      <w:marTop w:val="0"/>
      <w:marBottom w:val="0"/>
      <w:divBdr>
        <w:top w:val="none" w:sz="0" w:space="0" w:color="auto"/>
        <w:left w:val="none" w:sz="0" w:space="0" w:color="auto"/>
        <w:bottom w:val="none" w:sz="0" w:space="0" w:color="auto"/>
        <w:right w:val="none" w:sz="0" w:space="0" w:color="auto"/>
      </w:divBdr>
    </w:div>
    <w:div w:id="1888493479">
      <w:bodyDiv w:val="1"/>
      <w:marLeft w:val="0"/>
      <w:marRight w:val="0"/>
      <w:marTop w:val="0"/>
      <w:marBottom w:val="0"/>
      <w:divBdr>
        <w:top w:val="none" w:sz="0" w:space="0" w:color="auto"/>
        <w:left w:val="none" w:sz="0" w:space="0" w:color="auto"/>
        <w:bottom w:val="none" w:sz="0" w:space="0" w:color="auto"/>
        <w:right w:val="none" w:sz="0" w:space="0" w:color="auto"/>
      </w:divBdr>
    </w:div>
    <w:div w:id="2050835656">
      <w:bodyDiv w:val="1"/>
      <w:marLeft w:val="0"/>
      <w:marRight w:val="0"/>
      <w:marTop w:val="0"/>
      <w:marBottom w:val="0"/>
      <w:divBdr>
        <w:top w:val="none" w:sz="0" w:space="0" w:color="auto"/>
        <w:left w:val="none" w:sz="0" w:space="0" w:color="auto"/>
        <w:bottom w:val="none" w:sz="0" w:space="0" w:color="auto"/>
        <w:right w:val="none" w:sz="0" w:space="0" w:color="auto"/>
      </w:divBdr>
    </w:div>
    <w:div w:id="21269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footer" Target="footer5.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footer" Target="footer4.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glossaryDocument" Target="glossary/document.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BA109DDB1348B1AE0E86383DD26A8C"/>
        <w:category>
          <w:name w:val="General"/>
          <w:gallery w:val="placeholder"/>
        </w:category>
        <w:types>
          <w:type w:val="bbPlcHdr"/>
        </w:types>
        <w:behaviors>
          <w:behavior w:val="content"/>
        </w:behaviors>
        <w:guid w:val="{9A8813CB-7FD5-49AA-87E3-6A373AC74B81}"/>
      </w:docPartPr>
      <w:docPartBody>
        <w:p w:rsidR="00585F41" w:rsidRDefault="00585F41"/>
      </w:docPartBody>
    </w:docPart>
    <w:docPart>
      <w:docPartPr>
        <w:name w:val="B6D55A04BCBA43338BC6EBD79DBB5482"/>
        <w:category>
          <w:name w:val="General"/>
          <w:gallery w:val="placeholder"/>
        </w:category>
        <w:types>
          <w:type w:val="bbPlcHdr"/>
        </w:types>
        <w:behaviors>
          <w:behavior w:val="content"/>
        </w:behaviors>
        <w:guid w:val="{217DE28A-C6ED-4343-A5BE-92A181DA2373}"/>
      </w:docPartPr>
      <w:docPartBody>
        <w:p w:rsidR="00585F41" w:rsidRDefault="00585F41"/>
      </w:docPartBody>
    </w:docPart>
    <w:docPart>
      <w:docPartPr>
        <w:name w:val="30F70A729EC24969BCD44FFEE5560520"/>
        <w:category>
          <w:name w:val="General"/>
          <w:gallery w:val="placeholder"/>
        </w:category>
        <w:types>
          <w:type w:val="bbPlcHdr"/>
        </w:types>
        <w:behaviors>
          <w:behavior w:val="content"/>
        </w:behaviors>
        <w:guid w:val="{70B98AC5-9E77-4A02-8C69-66EE410DCABE}"/>
      </w:docPartPr>
      <w:docPartBody>
        <w:p w:rsidR="00585F41" w:rsidRDefault="00585F41"/>
      </w:docPartBody>
    </w:docPart>
    <w:docPart>
      <w:docPartPr>
        <w:name w:val="5328FC0E2933492C803F09B1BE852D12"/>
        <w:category>
          <w:name w:val="General"/>
          <w:gallery w:val="placeholder"/>
        </w:category>
        <w:types>
          <w:type w:val="bbPlcHdr"/>
        </w:types>
        <w:behaviors>
          <w:behavior w:val="content"/>
        </w:behaviors>
        <w:guid w:val="{2EBD5467-02AD-482F-927F-7D9BBBAC8986}"/>
      </w:docPartPr>
      <w:docPartBody>
        <w:p w:rsidR="00585F41" w:rsidRDefault="00585F41"/>
      </w:docPartBody>
    </w:docPart>
    <w:docPart>
      <w:docPartPr>
        <w:name w:val="17C3BA417BE74181B121633883330B13"/>
        <w:category>
          <w:name w:val="General"/>
          <w:gallery w:val="placeholder"/>
        </w:category>
        <w:types>
          <w:type w:val="bbPlcHdr"/>
        </w:types>
        <w:behaviors>
          <w:behavior w:val="content"/>
        </w:behaviors>
        <w:guid w:val="{C4CD1005-91A2-493E-B037-DAA60C729FEC}"/>
      </w:docPartPr>
      <w:docPartBody>
        <w:p w:rsidR="00585F41" w:rsidRDefault="00585F41"/>
      </w:docPartBody>
    </w:docPart>
    <w:docPart>
      <w:docPartPr>
        <w:name w:val="926822A23BB04A31891427DD08E2AAD5"/>
        <w:category>
          <w:name w:val="General"/>
          <w:gallery w:val="placeholder"/>
        </w:category>
        <w:types>
          <w:type w:val="bbPlcHdr"/>
        </w:types>
        <w:behaviors>
          <w:behavior w:val="content"/>
        </w:behaviors>
        <w:guid w:val="{F2FEB551-726B-4642-8DA9-7C27D45F5AC3}"/>
      </w:docPartPr>
      <w:docPartBody>
        <w:p w:rsidR="00585F41" w:rsidRDefault="00585F41"/>
      </w:docPartBody>
    </w:docPart>
    <w:docPart>
      <w:docPartPr>
        <w:name w:val="39C34E29D6DD42C08CFE8778761AE2FC"/>
        <w:category>
          <w:name w:val="General"/>
          <w:gallery w:val="placeholder"/>
        </w:category>
        <w:types>
          <w:type w:val="bbPlcHdr"/>
        </w:types>
        <w:behaviors>
          <w:behavior w:val="content"/>
        </w:behaviors>
        <w:guid w:val="{33B4E946-F0BC-4459-8D2C-4A2C23ED2A25}"/>
      </w:docPartPr>
      <w:docPartBody>
        <w:p w:rsidR="00585F41" w:rsidRDefault="00585F41"/>
      </w:docPartBody>
    </w:docPart>
    <w:docPart>
      <w:docPartPr>
        <w:name w:val="0AA41A9B12E64C1FB369A1139C23D467"/>
        <w:category>
          <w:name w:val="General"/>
          <w:gallery w:val="placeholder"/>
        </w:category>
        <w:types>
          <w:type w:val="bbPlcHdr"/>
        </w:types>
        <w:behaviors>
          <w:behavior w:val="content"/>
        </w:behaviors>
        <w:guid w:val="{7E27ADC1-71AF-43E1-A8C3-01993BE0F83D}"/>
      </w:docPartPr>
      <w:docPartBody>
        <w:p w:rsidR="00585F41" w:rsidRDefault="00585F41"/>
      </w:docPartBody>
    </w:docPart>
    <w:docPart>
      <w:docPartPr>
        <w:name w:val="035A417F68E249768B8DC7A7C0E4C3CF"/>
        <w:category>
          <w:name w:val="General"/>
          <w:gallery w:val="placeholder"/>
        </w:category>
        <w:types>
          <w:type w:val="bbPlcHdr"/>
        </w:types>
        <w:behaviors>
          <w:behavior w:val="content"/>
        </w:behaviors>
        <w:guid w:val="{AC0CDFAC-9A9E-44B7-9027-8854E51842CC}"/>
      </w:docPartPr>
      <w:docPartBody>
        <w:p w:rsidR="00585F41" w:rsidRDefault="00585F41"/>
      </w:docPartBody>
    </w:docPart>
    <w:docPart>
      <w:docPartPr>
        <w:name w:val="6302F1AF76C0488F8FAD2FFB43DDF9C4"/>
        <w:category>
          <w:name w:val="General"/>
          <w:gallery w:val="placeholder"/>
        </w:category>
        <w:types>
          <w:type w:val="bbPlcHdr"/>
        </w:types>
        <w:behaviors>
          <w:behavior w:val="content"/>
        </w:behaviors>
        <w:guid w:val="{EA5FE719-51B4-456B-99D0-4C216939F6FF}"/>
      </w:docPartPr>
      <w:docPartBody>
        <w:p w:rsidR="00585F41" w:rsidRDefault="00585F41"/>
      </w:docPartBody>
    </w:docPart>
    <w:docPart>
      <w:docPartPr>
        <w:name w:val="AE9C20A834114EF1889329B9697F09BB"/>
        <w:category>
          <w:name w:val="General"/>
          <w:gallery w:val="placeholder"/>
        </w:category>
        <w:types>
          <w:type w:val="bbPlcHdr"/>
        </w:types>
        <w:behaviors>
          <w:behavior w:val="content"/>
        </w:behaviors>
        <w:guid w:val="{66004AE0-0FE1-43F7-9EF0-FB583090F708}"/>
      </w:docPartPr>
      <w:docPartBody>
        <w:p w:rsidR="00585F41" w:rsidRDefault="00585F41"/>
      </w:docPartBody>
    </w:docPart>
    <w:docPart>
      <w:docPartPr>
        <w:name w:val="23C634E3DC774F879C0C61558DD71E4E"/>
        <w:category>
          <w:name w:val="General"/>
          <w:gallery w:val="placeholder"/>
        </w:category>
        <w:types>
          <w:type w:val="bbPlcHdr"/>
        </w:types>
        <w:behaviors>
          <w:behavior w:val="content"/>
        </w:behaviors>
        <w:guid w:val="{2C94EE8A-9E7B-4FE0-B0CE-01F4951AB0A4}"/>
      </w:docPartPr>
      <w:docPartBody>
        <w:p w:rsidR="00585F41" w:rsidRDefault="00585F41"/>
      </w:docPartBody>
    </w:docPart>
    <w:docPart>
      <w:docPartPr>
        <w:name w:val="1CDD163B71934E9798183B2C66D40F7D"/>
        <w:category>
          <w:name w:val="General"/>
          <w:gallery w:val="placeholder"/>
        </w:category>
        <w:types>
          <w:type w:val="bbPlcHdr"/>
        </w:types>
        <w:behaviors>
          <w:behavior w:val="content"/>
        </w:behaviors>
        <w:guid w:val="{9ABA70FC-4B1F-4D74-9ED9-D13E35751695}"/>
      </w:docPartPr>
      <w:docPartBody>
        <w:p w:rsidR="00585F41" w:rsidRDefault="00585F41"/>
      </w:docPartBody>
    </w:docPart>
    <w:docPart>
      <w:docPartPr>
        <w:name w:val="F44C3218397445079FADF934CA4A94D9"/>
        <w:category>
          <w:name w:val="General"/>
          <w:gallery w:val="placeholder"/>
        </w:category>
        <w:types>
          <w:type w:val="bbPlcHdr"/>
        </w:types>
        <w:behaviors>
          <w:behavior w:val="content"/>
        </w:behaviors>
        <w:guid w:val="{76035834-2598-4138-BEAD-E396A07A5C8E}"/>
      </w:docPartPr>
      <w:docPartBody>
        <w:p w:rsidR="00585F41" w:rsidRDefault="00585F41"/>
      </w:docPartBody>
    </w:docPart>
    <w:docPart>
      <w:docPartPr>
        <w:name w:val="F785EB4227254F0FA0011E044518B829"/>
        <w:category>
          <w:name w:val="General"/>
          <w:gallery w:val="placeholder"/>
        </w:category>
        <w:types>
          <w:type w:val="bbPlcHdr"/>
        </w:types>
        <w:behaviors>
          <w:behavior w:val="content"/>
        </w:behaviors>
        <w:guid w:val="{AF066AD2-0B8E-4904-BA63-BCA9165CE98D}"/>
      </w:docPartPr>
      <w:docPartBody>
        <w:p w:rsidR="00585F41" w:rsidRDefault="00585F41"/>
      </w:docPartBody>
    </w:docPart>
    <w:docPart>
      <w:docPartPr>
        <w:name w:val="4158153A1566437F9A68C5395B96180B"/>
        <w:category>
          <w:name w:val="General"/>
          <w:gallery w:val="placeholder"/>
        </w:category>
        <w:types>
          <w:type w:val="bbPlcHdr"/>
        </w:types>
        <w:behaviors>
          <w:behavior w:val="content"/>
        </w:behaviors>
        <w:guid w:val="{C4B7158D-4452-4390-BB0E-7E255F9B11A6}"/>
      </w:docPartPr>
      <w:docPartBody>
        <w:p w:rsidR="00585F41" w:rsidRDefault="00585F41"/>
      </w:docPartBody>
    </w:docPart>
    <w:docPart>
      <w:docPartPr>
        <w:name w:val="72E8E391D7204A1494216C76C5C66E7A"/>
        <w:category>
          <w:name w:val="General"/>
          <w:gallery w:val="placeholder"/>
        </w:category>
        <w:types>
          <w:type w:val="bbPlcHdr"/>
        </w:types>
        <w:behaviors>
          <w:behavior w:val="content"/>
        </w:behaviors>
        <w:guid w:val="{780FE390-1AAD-4DF1-A590-C5D037AF47E4}"/>
      </w:docPartPr>
      <w:docPartBody>
        <w:p w:rsidR="00585F41" w:rsidRDefault="00585F41"/>
      </w:docPartBody>
    </w:docPart>
    <w:docPart>
      <w:docPartPr>
        <w:name w:val="D1AFAEEA189C4194936BC9F87EC04D9B"/>
        <w:category>
          <w:name w:val="General"/>
          <w:gallery w:val="placeholder"/>
        </w:category>
        <w:types>
          <w:type w:val="bbPlcHdr"/>
        </w:types>
        <w:behaviors>
          <w:behavior w:val="content"/>
        </w:behaviors>
        <w:guid w:val="{A8DDBFC7-1403-41D0-B4A7-0E3D820B024D}"/>
      </w:docPartPr>
      <w:docPartBody>
        <w:p w:rsidR="00585F41" w:rsidRDefault="00585F41"/>
      </w:docPartBody>
    </w:docPart>
    <w:docPart>
      <w:docPartPr>
        <w:name w:val="13DD9CAB0E4E42828582D678983A78E1"/>
        <w:category>
          <w:name w:val="General"/>
          <w:gallery w:val="placeholder"/>
        </w:category>
        <w:types>
          <w:type w:val="bbPlcHdr"/>
        </w:types>
        <w:behaviors>
          <w:behavior w:val="content"/>
        </w:behaviors>
        <w:guid w:val="{6848FD91-7047-4716-A5B1-FCBC2FA088D7}"/>
      </w:docPartPr>
      <w:docPartBody>
        <w:p w:rsidR="00043780" w:rsidRDefault="00043780"/>
      </w:docPartBody>
    </w:docPart>
    <w:docPart>
      <w:docPartPr>
        <w:name w:val="8D526A587E74460F86E3716AE24A931A"/>
        <w:category>
          <w:name w:val="General"/>
          <w:gallery w:val="placeholder"/>
        </w:category>
        <w:types>
          <w:type w:val="bbPlcHdr"/>
        </w:types>
        <w:behaviors>
          <w:behavior w:val="content"/>
        </w:behaviors>
        <w:guid w:val="{AFCA6E07-0294-43E1-B35E-01EF475FAE6C}"/>
      </w:docPartPr>
      <w:docPartBody>
        <w:p w:rsidR="005640C5" w:rsidRDefault="005640C5"/>
      </w:docPartBody>
    </w:docPart>
    <w:docPart>
      <w:docPartPr>
        <w:name w:val="4DD35D19BD4D45509AF86D99DD2F48B6"/>
        <w:category>
          <w:name w:val="General"/>
          <w:gallery w:val="placeholder"/>
        </w:category>
        <w:types>
          <w:type w:val="bbPlcHdr"/>
        </w:types>
        <w:behaviors>
          <w:behavior w:val="content"/>
        </w:behaviors>
        <w:guid w:val="{9CF485A9-670C-4722-A8F4-793E8820681A}"/>
      </w:docPartPr>
      <w:docPartBody>
        <w:p w:rsidR="005640C5" w:rsidRDefault="005640C5"/>
      </w:docPartBody>
    </w:docPart>
    <w:docPart>
      <w:docPartPr>
        <w:name w:val="E65261560AA74A29941C314E5CB27B10"/>
        <w:category>
          <w:name w:val="General"/>
          <w:gallery w:val="placeholder"/>
        </w:category>
        <w:types>
          <w:type w:val="bbPlcHdr"/>
        </w:types>
        <w:behaviors>
          <w:behavior w:val="content"/>
        </w:behaviors>
        <w:guid w:val="{70CDF1F5-A562-4E55-ACAE-D23A49CC55EE}"/>
      </w:docPartPr>
      <w:docPartBody>
        <w:p w:rsidR="005640C5" w:rsidRDefault="005640C5"/>
      </w:docPartBody>
    </w:docPart>
    <w:docPart>
      <w:docPartPr>
        <w:name w:val="D89FC20093B540608AABE343C7CC867E"/>
        <w:category>
          <w:name w:val="General"/>
          <w:gallery w:val="placeholder"/>
        </w:category>
        <w:types>
          <w:type w:val="bbPlcHdr"/>
        </w:types>
        <w:behaviors>
          <w:behavior w:val="content"/>
        </w:behaviors>
        <w:guid w:val="{DFCCC8E5-2664-486C-A32F-3EC63860F767}"/>
      </w:docPartPr>
      <w:docPartBody>
        <w:p w:rsidR="005640C5" w:rsidRDefault="005640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ingLiU">
    <w:altName w:val="細明體"/>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Real Text Light">
    <w:altName w:val="Calibri"/>
    <w:panose1 w:val="020B0504020101010102"/>
    <w:charset w:val="00"/>
    <w:family w:val="swiss"/>
    <w:notTrueType/>
    <w:pitch w:val="variable"/>
    <w:sig w:usb0="A00000FF" w:usb1="4000E47B" w:usb2="00000000" w:usb3="00000000" w:csb0="00000093" w:csb1="00000000"/>
  </w:font>
  <w:font w:name="Cairo">
    <w:panose1 w:val="00000500000000000000"/>
    <w:charset w:val="00"/>
    <w:family w:val="auto"/>
    <w:pitch w:val="variable"/>
    <w:sig w:usb0="00002007" w:usb1="00000001" w:usb2="00000008" w:usb3="00000000" w:csb0="000000D3" w:csb1="00000000"/>
  </w:font>
  <w:font w:name="Noto Sans CJK SC Light">
    <w:panose1 w:val="020B0300000000000000"/>
    <w:charset w:val="80"/>
    <w:family w:val="swiss"/>
    <w:notTrueType/>
    <w:pitch w:val="variable"/>
    <w:sig w:usb0="30000207" w:usb1="2BDF3C10" w:usb2="00000016" w:usb3="00000000" w:csb0="002E0107"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AA"/>
    <w:rsid w:val="0001693B"/>
    <w:rsid w:val="00043780"/>
    <w:rsid w:val="00055DCF"/>
    <w:rsid w:val="0014292A"/>
    <w:rsid w:val="001A5EB0"/>
    <w:rsid w:val="001D3DBC"/>
    <w:rsid w:val="00207541"/>
    <w:rsid w:val="002327AA"/>
    <w:rsid w:val="003A62C0"/>
    <w:rsid w:val="003F120C"/>
    <w:rsid w:val="00462963"/>
    <w:rsid w:val="00523C13"/>
    <w:rsid w:val="00585F41"/>
    <w:rsid w:val="0060589E"/>
    <w:rsid w:val="006723E9"/>
    <w:rsid w:val="0067454C"/>
    <w:rsid w:val="006A2F4C"/>
    <w:rsid w:val="006B4F77"/>
    <w:rsid w:val="007372D1"/>
    <w:rsid w:val="00777609"/>
    <w:rsid w:val="00801FB9"/>
    <w:rsid w:val="00805255"/>
    <w:rsid w:val="008147AD"/>
    <w:rsid w:val="009F6498"/>
    <w:rsid w:val="00A729D5"/>
    <w:rsid w:val="00A835DC"/>
    <w:rsid w:val="00A84821"/>
    <w:rsid w:val="00A94526"/>
    <w:rsid w:val="00B81D64"/>
    <w:rsid w:val="00BA7ABA"/>
    <w:rsid w:val="00C612C3"/>
    <w:rsid w:val="00CD32A2"/>
    <w:rsid w:val="00D3470B"/>
    <w:rsid w:val="00D55A9D"/>
    <w:rsid w:val="00D617B0"/>
    <w:rsid w:val="00D63E33"/>
    <w:rsid w:val="00D875DC"/>
    <w:rsid w:val="00D9685B"/>
    <w:rsid w:val="00DD1FE3"/>
    <w:rsid w:val="00DF1C41"/>
    <w:rsid w:val="00E665F1"/>
    <w:rsid w:val="00F258A4"/>
    <w:rsid w:val="00FB0EBD"/>
    <w:rsid w:val="00FC69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7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Simmons - Word">
  <a:themeElements>
    <a:clrScheme name="Simmons Default">
      <a:dk1>
        <a:srgbClr val="303030"/>
      </a:dk1>
      <a:lt1>
        <a:srgbClr val="FFFFFF"/>
      </a:lt1>
      <a:dk2>
        <a:srgbClr val="FC515B"/>
      </a:dk2>
      <a:lt2>
        <a:srgbClr val="D8D8D8"/>
      </a:lt2>
      <a:accent1>
        <a:srgbClr val="88E5BD"/>
      </a:accent1>
      <a:accent2>
        <a:srgbClr val="53C2E5"/>
      </a:accent2>
      <a:accent3>
        <a:srgbClr val="8996F4"/>
      </a:accent3>
      <a:accent4>
        <a:srgbClr val="EAA4EA"/>
      </a:accent4>
      <a:accent5>
        <a:srgbClr val="FD969C"/>
      </a:accent5>
      <a:accent6>
        <a:srgbClr val="B7EFD7"/>
      </a:accent6>
      <a:hlink>
        <a:srgbClr val="0563C1"/>
      </a:hlink>
      <a:folHlink>
        <a:srgbClr val="954F72"/>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sz="1600" dirty="0"/>
        </a:defPPr>
      </a:lstStyle>
    </a:txDef>
  </a:objectDefaults>
  <a:extraClrSchemeLst/>
  <a:extLst>
    <a:ext uri="{05A4C25C-085E-4340-85A3-A5531E510DB2}">
      <thm15:themeFamily xmlns:thm15="http://schemas.microsoft.com/office/thememl/2012/main" name="Simmons" id="{E65F5AEB-1984-4FC1-8873-5023D374DCD4}" vid="{06B1774F-B232-49F1-A148-B96D1EC6530F}"/>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2024-10-10T16:00:11.0000000Z</dcterms:created>
  <dcterms:modified xsi:type="dcterms:W3CDTF">2024-10-10T16:00:11.0000000Z</dcterms:modified>
</coreProperties>
</file>

<file path=docProps/custom.xml><?xml version="1.0" encoding="utf-8"?>
<op:Properties xmlns:vt="http://schemas.openxmlformats.org/officeDocument/2006/docPropsVTypes" xmlns:op="http://schemas.openxmlformats.org/officeDocument/2006/custom-properties"/>
</file>